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89" w:rsidRDefault="007A2889" w:rsidP="007A2889">
      <w:pPr>
        <w:rPr>
          <w:rFonts w:ascii="Tahoma" w:hAnsi="Tahoma" w:cs="Tahoma"/>
          <w:b/>
        </w:rPr>
      </w:pPr>
    </w:p>
    <w:p w:rsidR="007A2889" w:rsidRDefault="007A2889" w:rsidP="007A2889">
      <w:pPr>
        <w:jc w:val="center"/>
        <w:rPr>
          <w:rFonts w:ascii="Tahoma" w:hAnsi="Tahoma" w:cs="Tahoma"/>
          <w:b/>
        </w:rPr>
      </w:pPr>
    </w:p>
    <w:p w:rsidR="00370323" w:rsidRPr="00604E46" w:rsidRDefault="00370323" w:rsidP="00370323">
      <w:pPr>
        <w:jc w:val="center"/>
        <w:rPr>
          <w:rFonts w:ascii="Tahoma" w:hAnsi="Tahoma" w:cs="Tahoma"/>
          <w:b/>
        </w:rPr>
      </w:pPr>
      <w:r w:rsidRPr="00604E46">
        <w:rPr>
          <w:rFonts w:ascii="Tahoma" w:hAnsi="Tahoma" w:cs="Tahoma"/>
          <w:b/>
        </w:rPr>
        <w:t xml:space="preserve">PROGRAMA DE </w:t>
      </w:r>
      <w:smartTag w:uri="urn:schemas-microsoft-com:office:smarttags" w:element="PersonName">
        <w:smartTagPr>
          <w:attr w:name="ProductID" w:val="LA ASIGNATURA"/>
        </w:smartTagPr>
        <w:r w:rsidRPr="00604E46">
          <w:rPr>
            <w:rFonts w:ascii="Tahoma" w:hAnsi="Tahoma" w:cs="Tahoma"/>
            <w:b/>
          </w:rPr>
          <w:t>LA ASIGNATURA</w:t>
        </w:r>
      </w:smartTag>
    </w:p>
    <w:p w:rsidR="00370323" w:rsidRPr="00604E46" w:rsidRDefault="00370323" w:rsidP="00370323">
      <w:pPr>
        <w:jc w:val="both"/>
        <w:rPr>
          <w:rFonts w:ascii="Tahoma" w:hAnsi="Tahoma" w:cs="Tahoma"/>
          <w:sz w:val="20"/>
          <w:szCs w:val="20"/>
        </w:rPr>
      </w:pPr>
    </w:p>
    <w:p w:rsidR="00370323" w:rsidRPr="00604E46" w:rsidRDefault="00370323" w:rsidP="00370323">
      <w:pPr>
        <w:jc w:val="center"/>
        <w:rPr>
          <w:rFonts w:ascii="Tahoma" w:hAnsi="Tahoma" w:cs="Tahoma"/>
          <w:b/>
        </w:rPr>
      </w:pPr>
      <w:r w:rsidRPr="00604E46">
        <w:rPr>
          <w:rFonts w:ascii="Tahoma" w:hAnsi="Tahoma" w:cs="Tahoma"/>
          <w:b/>
        </w:rPr>
        <w:t xml:space="preserve">Curso académico: </w:t>
      </w:r>
      <w:r>
        <w:rPr>
          <w:rFonts w:ascii="Tahoma" w:hAnsi="Tahoma" w:cs="Tahoma"/>
          <w:b/>
        </w:rPr>
        <w:t>2013/14</w:t>
      </w:r>
    </w:p>
    <w:p w:rsidR="00370323" w:rsidRPr="00604E46" w:rsidRDefault="00370323" w:rsidP="00370323">
      <w:pPr>
        <w:jc w:val="both"/>
        <w:rPr>
          <w:rFonts w:ascii="Tahoma" w:hAnsi="Tahoma" w:cs="Tahoma"/>
          <w:sz w:val="20"/>
          <w:szCs w:val="20"/>
        </w:rPr>
      </w:pPr>
    </w:p>
    <w:p w:rsidR="00370323" w:rsidRDefault="00370323" w:rsidP="00370323">
      <w:pPr>
        <w:jc w:val="both"/>
        <w:rPr>
          <w:rFonts w:ascii="Tahoma" w:hAnsi="Tahoma" w:cs="Tahoma"/>
          <w:sz w:val="20"/>
          <w:szCs w:val="20"/>
        </w:rPr>
      </w:pPr>
    </w:p>
    <w:p w:rsidR="00370323" w:rsidRPr="00604E46" w:rsidRDefault="00370323" w:rsidP="00370323">
      <w:pPr>
        <w:jc w:val="both"/>
        <w:rPr>
          <w:rFonts w:ascii="Tahoma" w:hAnsi="Tahoma" w:cs="Tahoma"/>
          <w:sz w:val="20"/>
          <w:szCs w:val="20"/>
        </w:rPr>
      </w:pPr>
    </w:p>
    <w:p w:rsidR="00370323" w:rsidRPr="00604E46" w:rsidRDefault="00370323" w:rsidP="0037032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1139"/>
        <w:gridCol w:w="650"/>
        <w:gridCol w:w="1268"/>
        <w:gridCol w:w="917"/>
        <w:gridCol w:w="1582"/>
        <w:gridCol w:w="956"/>
        <w:gridCol w:w="257"/>
      </w:tblGrid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Identificación y características de la asignatura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  <w:tc>
          <w:tcPr>
            <w:tcW w:w="1139" w:type="dxa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Créditos ECTS</w:t>
            </w:r>
          </w:p>
        </w:tc>
        <w:tc>
          <w:tcPr>
            <w:tcW w:w="257" w:type="dxa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Denominación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INDIVIDUAL DEL TRABAJO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Titulaciones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Grado en Ciencias del Trabajo y dobles titulaciones:  ADE, Economía y Derecho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Facultad de Ciencias Económicas y Empresariales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Semestre</w:t>
            </w:r>
          </w:p>
        </w:tc>
        <w:tc>
          <w:tcPr>
            <w:tcW w:w="1139" w:type="dxa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2º</w:t>
            </w: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Carácter</w:t>
            </w:r>
          </w:p>
        </w:tc>
        <w:tc>
          <w:tcPr>
            <w:tcW w:w="3712" w:type="dxa"/>
            <w:gridSpan w:val="4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Básica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Módulo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Formación Básica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Materia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  <w:shd w:val="clear" w:color="auto" w:fill="E0E0E0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1268" w:type="dxa"/>
            <w:shd w:val="clear" w:color="auto" w:fill="D9D9D9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Despacho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Correo-e</w:t>
            </w:r>
          </w:p>
        </w:tc>
        <w:tc>
          <w:tcPr>
            <w:tcW w:w="1213" w:type="dxa"/>
            <w:gridSpan w:val="2"/>
            <w:shd w:val="clear" w:color="auto" w:fill="D9D9D9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Página web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1" w:type="dxa"/>
            <w:gridSpan w:val="3"/>
            <w:shd w:val="clear" w:color="auto" w:fill="auto"/>
            <w:vAlign w:val="center"/>
          </w:tcPr>
          <w:p w:rsidR="00370323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María </w:t>
            </w:r>
            <w:smartTag w:uri="urn:schemas-microsoft-com:office:smarttags" w:element="PersonName">
              <w:smartTagPr>
                <w:attr w:name="ProductID" w:val="Teresa Viñuelas"/>
              </w:smartTagPr>
              <w:r>
                <w:rPr>
                  <w:rFonts w:ascii="Tahoma" w:hAnsi="Tahoma" w:cs="Tahoma"/>
                  <w:sz w:val="22"/>
                  <w:szCs w:val="22"/>
                </w:rPr>
                <w:t xml:space="preserve">Teresa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Viñuelas</w:t>
              </w:r>
            </w:smartTag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Zahinos</w:t>
            </w:r>
            <w:proofErr w:type="spellEnd"/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Pedro Bravo"/>
              </w:smartTagPr>
              <w:r>
                <w:rPr>
                  <w:rFonts w:ascii="Tahoma" w:hAnsi="Tahoma" w:cs="Tahoma"/>
                  <w:sz w:val="22"/>
                  <w:szCs w:val="22"/>
                </w:rPr>
                <w:t>Pedro Bravo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Gutiérrez</w:t>
            </w:r>
          </w:p>
        </w:tc>
        <w:tc>
          <w:tcPr>
            <w:tcW w:w="1268" w:type="dxa"/>
          </w:tcPr>
          <w:p w:rsidR="00370323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Colectivo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Colectivo</w:t>
            </w:r>
          </w:p>
        </w:tc>
        <w:tc>
          <w:tcPr>
            <w:tcW w:w="2499" w:type="dxa"/>
            <w:gridSpan w:val="2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mteresav@unex.es</w:t>
            </w: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1" w:type="dxa"/>
            <w:gridSpan w:val="3"/>
            <w:shd w:val="clear" w:color="auto" w:fill="auto"/>
            <w:vAlign w:val="center"/>
          </w:tcPr>
          <w:p w:rsidR="00370323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8" w:type="dxa"/>
          </w:tcPr>
          <w:p w:rsidR="00370323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370323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Área de conocimiento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del Trabajo y la Seguridad Social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Departamento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Privado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2" w:type="dxa"/>
            <w:shd w:val="clear" w:color="auto" w:fill="E0E0E0"/>
            <w:vAlign w:val="center"/>
          </w:tcPr>
          <w:p w:rsidR="00370323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 coordinador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16"/>
                <w:szCs w:val="16"/>
              </w:rPr>
            </w:pPr>
            <w:r w:rsidRPr="00783755">
              <w:rPr>
                <w:rFonts w:ascii="Tahoma" w:hAnsi="Tahoma" w:cs="Tahoma"/>
                <w:sz w:val="16"/>
                <w:szCs w:val="16"/>
              </w:rPr>
              <w:t>(si hay más de uno)</w:t>
            </w:r>
          </w:p>
        </w:tc>
        <w:tc>
          <w:tcPr>
            <w:tcW w:w="6769" w:type="dxa"/>
            <w:gridSpan w:val="7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María </w:t>
            </w:r>
            <w:smartTag w:uri="urn:schemas-microsoft-com:office:smarttags" w:element="PersonName">
              <w:smartTagPr>
                <w:attr w:name="ProductID" w:val="teresa Vi￱uelas"/>
              </w:smartTagPr>
              <w:r>
                <w:rPr>
                  <w:rFonts w:ascii="Tahoma" w:hAnsi="Tahoma" w:cs="Tahoma"/>
                  <w:sz w:val="22"/>
                  <w:szCs w:val="22"/>
                </w:rPr>
                <w:t xml:space="preserve">Teresa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Viñuelas</w:t>
              </w:r>
            </w:smartTag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Zahinos</w:t>
            </w:r>
            <w:proofErr w:type="spellEnd"/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Competencias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2A3EEA" w:rsidRDefault="00370323" w:rsidP="001E753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3EEA">
              <w:rPr>
                <w:rFonts w:ascii="Tahoma" w:hAnsi="Tahoma" w:cs="Tahoma"/>
                <w:b/>
                <w:bCs/>
                <w:sz w:val="22"/>
                <w:szCs w:val="22"/>
              </w:rPr>
              <w:t>Objetivos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Introducir al alumno en las bases del ordenamiento jurídico-laboral.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Conocimiento de la evolución histórica del Derecho del Trabajo.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Conocimiento de las normas laborales, así como los principios y normas de aplicación.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Conocimiento de los sujetos de la relación laboral.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Estudio del contrato de trabajo.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2A3EEA" w:rsidRDefault="00370323" w:rsidP="001E753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3EEA">
              <w:rPr>
                <w:rFonts w:ascii="Tahoma" w:hAnsi="Tahoma" w:cs="Tahoma"/>
                <w:b/>
                <w:bCs/>
                <w:sz w:val="22"/>
                <w:szCs w:val="22"/>
              </w:rPr>
              <w:t>Competencias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</w:t>
            </w:r>
            <w:r w:rsidRPr="0078375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hayan demostrado poseer y comprender conocimientos en un área de estudio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CB3: </w:t>
            </w:r>
            <w:r w:rsidRPr="002A65B9">
              <w:rPr>
                <w:rFonts w:ascii="Tahoma" w:hAnsi="Tahoma" w:cs="Tahoma"/>
                <w:sz w:val="22"/>
                <w:szCs w:val="22"/>
              </w:rPr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F93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CB4</w:t>
            </w:r>
            <w:r w:rsidRPr="00F93E46">
              <w:rPr>
                <w:rFonts w:ascii="Tahoma" w:hAnsi="Tahoma" w:cs="Tahoma"/>
                <w:sz w:val="22"/>
                <w:szCs w:val="22"/>
              </w:rPr>
              <w:t>:</w:t>
            </w:r>
            <w:r w:rsidRPr="00F93E46"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2A65B9">
              <w:rPr>
                <w:rFonts w:ascii="Tahoma" w:hAnsi="Tahoma" w:cs="Arial"/>
                <w:sz w:val="22"/>
                <w:szCs w:val="22"/>
              </w:rPr>
              <w:t>Que los estudiantes puedan transmitir información, ideas, problemas y soluciones a un público tanto especializado como no especializado.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F93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CB5:</w:t>
            </w:r>
            <w:r>
              <w:t xml:space="preserve"> </w:t>
            </w:r>
            <w:r w:rsidRPr="002A65B9">
              <w:rPr>
                <w:rFonts w:ascii="Tahoma" w:hAnsi="Tahoma" w:cs="Tahoma"/>
                <w:sz w:val="22"/>
                <w:szCs w:val="22"/>
              </w:rPr>
              <w:t>Que los estudiantes hayan desarrollado aquellas habilidades de aprendizaje necesarias para emprender estudios posteriores con un alto grado de autonomía.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CG3: Capacidad para dirigir grupos de personas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CG5: Capacidad para asesorar y/o gestionar en materia de empleo y contratación laboral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CT2: </w:t>
            </w:r>
            <w:r w:rsidRPr="002A65B9">
              <w:rPr>
                <w:rFonts w:ascii="Tahoma" w:hAnsi="Tahoma" w:cs="Tahoma"/>
                <w:sz w:val="22"/>
                <w:szCs w:val="22"/>
              </w:rPr>
              <w:t>Capacidad de comunicación oral y escrita en lengua castellana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CT4: Capacidad de gestionar, analizar y sintetizar la información 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CT5: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de trabajar en equipo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CT8: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de aprendizaje autónomo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CT9: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el razonamiento crítico y autocrítico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CT10: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la resolución de problemas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CT11: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la toma de decisiones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CT12: </w:t>
            </w:r>
            <w:r>
              <w:rPr>
                <w:rFonts w:ascii="Verdana" w:hAnsi="Verdana" w:cs="Arial"/>
                <w:sz w:val="20"/>
                <w:szCs w:val="20"/>
              </w:rPr>
              <w:t>Capacidad de organización y planificación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CT13: </w:t>
            </w:r>
            <w:r w:rsidRPr="007168B8">
              <w:rPr>
                <w:rFonts w:ascii="Tahoma" w:hAnsi="Tahoma" w:cs="Tahoma"/>
                <w:sz w:val="22"/>
                <w:szCs w:val="22"/>
              </w:rPr>
              <w:t>Respecto y promoción de los valores democráticos y de la coeducación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CT15: </w:t>
            </w:r>
            <w:r w:rsidRPr="007168B8">
              <w:rPr>
                <w:rFonts w:ascii="Tahoma" w:hAnsi="Tahoma" w:cs="Tahoma"/>
                <w:sz w:val="22"/>
                <w:szCs w:val="22"/>
              </w:rPr>
              <w:t>Habilidad en las relaciones personales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CT16: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Compromiso ético en el trabajo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CE1: </w:t>
            </w:r>
            <w:r w:rsidRPr="00BF54AC">
              <w:rPr>
                <w:rFonts w:ascii="Tahoma" w:hAnsi="Tahoma" w:cs="Tahoma"/>
                <w:sz w:val="22"/>
                <w:szCs w:val="22"/>
              </w:rPr>
              <w:t xml:space="preserve">Conocimiento y aplicación del ordenamiento jurídico </w:t>
            </w:r>
            <w:r>
              <w:rPr>
                <w:rFonts w:ascii="Tahoma" w:hAnsi="Tahoma" w:cs="Tahoma"/>
                <w:sz w:val="22"/>
                <w:szCs w:val="22"/>
              </w:rPr>
              <w:t>laboral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CE3: Conocimiento de los instrumentos para la dirección y gestión de recursos humanos.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Breve descripción del contenido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Evolución histórica del Derecho del Trabajo, sistema normativo, principios y órganos de aplicación del Derecho del Trabajo, contrato de trabajo (concepto, naturaleza, sujetos, contenido, modalidades de contratación, vicisitudes y extinción del contrato)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Temario de la asignatura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1: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Significado y evolución del Derecho del Trabajo</w:t>
            </w:r>
          </w:p>
          <w:p w:rsidR="00370323" w:rsidRPr="0008036D" w:rsidRDefault="00370323" w:rsidP="001E753F">
            <w:pPr>
              <w:spacing w:line="240" w:lineRule="atLeast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Contenidos del tema 1: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El trabajo como fenómeno económico y social.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Tratamiento históri</w:t>
            </w:r>
            <w:r>
              <w:rPr>
                <w:rFonts w:ascii="Arial Narrow" w:hAnsi="Arial Narrow"/>
                <w:noProof/>
                <w:sz w:val="20"/>
              </w:rPr>
              <w:t>co (</w:t>
            </w:r>
            <w:r w:rsidRPr="0008036D">
              <w:rPr>
                <w:rFonts w:ascii="Arial Narrow" w:hAnsi="Arial Narrow"/>
                <w:noProof/>
                <w:sz w:val="20"/>
              </w:rPr>
              <w:t>2.1. El trabajo en la Antigüedad</w:t>
            </w:r>
            <w:r>
              <w:rPr>
                <w:rFonts w:ascii="Arial Narrow" w:hAnsi="Arial Narrow"/>
                <w:noProof/>
                <w:sz w:val="20"/>
              </w:rPr>
              <w:t>;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.2.2. El trabajo desde </w:t>
            </w:r>
            <w:smartTag w:uri="urn:schemas-microsoft-com:office:smarttags" w:element="PersonName">
              <w:smartTagPr>
                <w:attr w:name="ProductID" w:val="la Edad Media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Edad Media</w:t>
              </w:r>
            </w:smartTag>
            <w:r w:rsidRPr="0008036D">
              <w:rPr>
                <w:rFonts w:ascii="Arial Narrow" w:hAnsi="Arial Narrow"/>
                <w:noProof/>
                <w:sz w:val="20"/>
              </w:rPr>
              <w:t xml:space="preserve"> hasta </w:t>
            </w:r>
            <w:smartTag w:uri="urn:schemas-microsoft-com:office:smarttags" w:element="PersonName">
              <w:smartTagPr>
                <w:attr w:name="ProductID" w:val="la Revoluci￳n Industrial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Revolución Industrial</w:t>
              </w:r>
            </w:smartTag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 El trabajo a par</w:t>
            </w:r>
            <w:r>
              <w:rPr>
                <w:rFonts w:ascii="Arial Narrow" w:hAnsi="Arial Narrow"/>
                <w:noProof/>
                <w:sz w:val="20"/>
              </w:rPr>
              <w:t xml:space="preserve">tir de </w:t>
            </w:r>
            <w:smartTag w:uri="urn:schemas-microsoft-com:office:smarttags" w:element="PersonName">
              <w:smartTagPr>
                <w:attr w:name="ProductID" w:val="la Revoluci￳n Industrial"/>
              </w:smartTagPr>
              <w:r>
                <w:rPr>
                  <w:rFonts w:ascii="Arial Narrow" w:hAnsi="Arial Narrow"/>
                  <w:noProof/>
                  <w:sz w:val="20"/>
                </w:rPr>
                <w:t>la Revolución Industrial</w:t>
              </w:r>
            </w:smartTag>
            <w:r>
              <w:rPr>
                <w:rFonts w:ascii="Arial Narrow" w:hAnsi="Arial Narrow"/>
                <w:noProof/>
                <w:sz w:val="20"/>
              </w:rPr>
              <w:t xml:space="preserve">), </w:t>
            </w:r>
            <w:r w:rsidRPr="0008036D">
              <w:rPr>
                <w:rFonts w:ascii="Arial Narrow" w:hAnsi="Arial Narrow"/>
                <w:noProof/>
                <w:sz w:val="20"/>
              </w:rPr>
              <w:t>3. El trabajo objeto de Derecho del Trabajo.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Contenido del Derecho del Trabajo.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(Instituciones históricas)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2: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Las fuentes del Derecho del Trabajo (I)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Contenidos del tema 2: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Concepto y enumeración de las fuentes.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</w:t>
            </w:r>
            <w:r>
              <w:rPr>
                <w:rFonts w:ascii="Arial Narrow" w:hAnsi="Arial Narrow"/>
                <w:noProof/>
                <w:sz w:val="20"/>
              </w:rPr>
              <w:t xml:space="preserve"> La norma laboral internacional (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2.1. </w:t>
            </w:r>
            <w:smartTag w:uri="urn:schemas-microsoft-com:office:smarttags" w:element="PersonName">
              <w:smartTagPr>
                <w:attr w:name="ProductID" w:val="La Organizaci￳n Internacional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Organización Internacional</w:t>
              </w:r>
            </w:smartTag>
            <w:r>
              <w:rPr>
                <w:rFonts w:ascii="Arial Narrow" w:hAnsi="Arial Narrow"/>
                <w:noProof/>
                <w:sz w:val="20"/>
              </w:rPr>
              <w:t xml:space="preserve"> del Trabajo (OIT): </w:t>
            </w:r>
            <w:r w:rsidRPr="0008036D">
              <w:rPr>
                <w:rFonts w:ascii="Arial Narrow" w:hAnsi="Arial Narrow"/>
                <w:noProof/>
                <w:sz w:val="20"/>
              </w:rPr>
              <w:t>2.1.1. Constitución, estructura orgánica y funciones.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</w:t>
            </w:r>
            <w:r>
              <w:rPr>
                <w:rFonts w:ascii="Arial Narrow" w:hAnsi="Arial Narrow"/>
                <w:noProof/>
                <w:sz w:val="20"/>
              </w:rPr>
              <w:t xml:space="preserve">1.2. Convenio y Recomendaciones;  </w:t>
            </w:r>
            <w:r w:rsidRPr="0008036D">
              <w:rPr>
                <w:rFonts w:ascii="Arial Narrow" w:hAnsi="Arial Narrow"/>
                <w:noProof/>
                <w:sz w:val="20"/>
              </w:rPr>
              <w:t>2.2. El Derecho Social Comunitario: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2.2.1. Derecho Originario: Los Tratados constitutivos y sus reformas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2.2.2. Derecho Derivado: los actos jurídicos de la UE (actos legislativos y actos no legislativos)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2.2.3. La eficacia de los actos jurídicos de la UE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2.2.4. La integración del Derecho Comunitario en el ordenamiento español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2.2.5. Derechos de los trabajadores de la UE</w:t>
            </w:r>
            <w:r>
              <w:rPr>
                <w:rFonts w:ascii="Arial Narrow" w:hAnsi="Arial Narrow"/>
                <w:noProof/>
                <w:sz w:val="20"/>
              </w:rPr>
              <w:t xml:space="preserve">), </w:t>
            </w:r>
            <w:r w:rsidRPr="0008036D">
              <w:rPr>
                <w:rFonts w:ascii="Arial Narrow" w:hAnsi="Arial Narrow"/>
                <w:noProof/>
                <w:sz w:val="20"/>
              </w:rPr>
              <w:t>2.3. Otros organismos y fuentes internacionales: Los pactos internacionales de Derechos de Naciones Unidas. Los Conven</w:t>
            </w:r>
            <w:r>
              <w:rPr>
                <w:rFonts w:ascii="Arial Narrow" w:hAnsi="Arial Narrow"/>
                <w:noProof/>
                <w:sz w:val="20"/>
              </w:rPr>
              <w:t>ios Internacionales bilaterales, 2.4 Convenios internacionales.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(Examen, análisis y comparación normativa)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lastRenderedPageBreak/>
              <w:t>Denominación del tema 3: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Las fuentes del Derecho del Trabajo (II)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Contenidos del tema 3: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La norma constitucional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08036D">
              <w:rPr>
                <w:rFonts w:ascii="Arial Narrow" w:hAnsi="Arial Narrow"/>
                <w:noProof/>
                <w:sz w:val="20"/>
              </w:rPr>
              <w:t>1.1. La constitucionali</w:t>
            </w:r>
            <w:r>
              <w:rPr>
                <w:rFonts w:ascii="Arial Narrow" w:hAnsi="Arial Narrow"/>
                <w:noProof/>
                <w:sz w:val="20"/>
              </w:rPr>
              <w:t>ación de los derechos laborales;</w:t>
            </w:r>
            <w:r w:rsidRPr="0008036D">
              <w:rPr>
                <w:rFonts w:ascii="Arial Narrow" w:hAnsi="Arial Narrow"/>
                <w:noProof/>
                <w:sz w:val="20"/>
              </w:rPr>
              <w:t>1.2. La Constitución española de 1978</w:t>
            </w:r>
            <w:r>
              <w:rPr>
                <w:rFonts w:ascii="Arial Narrow" w:hAnsi="Arial Narrow"/>
                <w:noProof/>
                <w:sz w:val="20"/>
              </w:rPr>
              <w:t xml:space="preserve">): </w:t>
            </w:r>
            <w:r w:rsidRPr="0008036D">
              <w:rPr>
                <w:rFonts w:ascii="Arial Narrow" w:hAnsi="Arial Narrow"/>
                <w:noProof/>
                <w:sz w:val="20"/>
              </w:rPr>
              <w:t>1.2.1. Bases institucionales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1.2.2. Derechos fundamentales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1.2.3. Derechos y libertades del ciudadano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1.2.4. Principios rectores de la política social y económica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(Examen, análisis y comparación normativa)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Las fuentes del Derecho del Trabajo (III)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La Ley y otras normas con rango de ley.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Normas reglamentarias.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La potestad normativa de las Comunidades Autónomas.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(Examen, análisis y comparación normativa)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Las fuentes del Derecho del Trabajo (IV)</w:t>
            </w:r>
          </w:p>
          <w:p w:rsidR="00370323" w:rsidRPr="0008036D" w:rsidRDefault="00370323" w:rsidP="001E753F">
            <w:pPr>
              <w:spacing w:line="240" w:lineRule="atLeast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1. El convenio colectivo (</w:t>
            </w:r>
            <w:r w:rsidRPr="0008036D">
              <w:rPr>
                <w:rFonts w:ascii="Arial Narrow" w:hAnsi="Arial Narrow"/>
                <w:noProof/>
                <w:sz w:val="20"/>
              </w:rPr>
              <w:t>1.1. Concepto y naturaleza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 Eficacia jurídica: tipos de pactos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1.3. Pactos atípicos y otras formas de normación colectiva de las relaciones de trabajo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2. Otras fuentes de derecho (</w:t>
            </w:r>
            <w:r w:rsidRPr="0008036D">
              <w:rPr>
                <w:rFonts w:ascii="Arial Narrow" w:hAnsi="Arial Narrow"/>
                <w:noProof/>
                <w:sz w:val="20"/>
              </w:rPr>
              <w:t>2.1. La costumbre laboral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 La Jurisprudencia laboral</w:t>
            </w:r>
            <w:r>
              <w:rPr>
                <w:rFonts w:ascii="Arial Narrow" w:hAnsi="Arial Narrow"/>
                <w:noProof/>
                <w:sz w:val="20"/>
              </w:rPr>
              <w:t xml:space="preserve">: </w:t>
            </w:r>
            <w:r w:rsidRPr="0008036D">
              <w:rPr>
                <w:rFonts w:ascii="Arial Narrow" w:hAnsi="Arial Narrow"/>
                <w:noProof/>
                <w:sz w:val="20"/>
              </w:rPr>
              <w:t>2.3. Otras fuentes supletorias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(Examen, análisis y comparación normativa)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</w:rPr>
              <w:t>La a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plicación de las fuentes normativas del Derecho del Trabajo (I)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La dete</w:t>
            </w:r>
            <w:r>
              <w:rPr>
                <w:rFonts w:ascii="Arial Narrow" w:hAnsi="Arial Narrow"/>
                <w:noProof/>
                <w:sz w:val="20"/>
              </w:rPr>
              <w:t>rminación de la norma aplicable (</w:t>
            </w:r>
            <w:r w:rsidRPr="0008036D">
              <w:rPr>
                <w:rFonts w:ascii="Arial Narrow" w:hAnsi="Arial Narrow"/>
                <w:noProof/>
                <w:sz w:val="20"/>
              </w:rPr>
              <w:t>1.1. La concurrencia de normas y los principios de ordenación jerárquica</w:t>
            </w:r>
            <w:r>
              <w:rPr>
                <w:rFonts w:ascii="Arial Narrow" w:hAnsi="Arial Narrow"/>
                <w:noProof/>
                <w:sz w:val="20"/>
              </w:rPr>
              <w:t xml:space="preserve">: </w:t>
            </w:r>
            <w:r w:rsidRPr="0008036D">
              <w:rPr>
                <w:rFonts w:ascii="Arial Narrow" w:hAnsi="Arial Narrow"/>
                <w:noProof/>
                <w:sz w:val="20"/>
              </w:rPr>
              <w:t>1.1.1. El principio de jerarquía normativa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1.1.2. El principio de norma mínima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1.1.3. El principio de norma más favorable.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1.2. La sucesión temporal de normas: el princip</w:t>
            </w:r>
            <w:r>
              <w:rPr>
                <w:rFonts w:ascii="Arial Narrow" w:hAnsi="Arial Narrow"/>
                <w:noProof/>
                <w:sz w:val="20"/>
              </w:rPr>
              <w:t xml:space="preserve">io de condición más beneficiosa; </w:t>
            </w:r>
            <w:r w:rsidRPr="0008036D">
              <w:rPr>
                <w:rFonts w:ascii="Arial Narrow" w:hAnsi="Arial Narrow"/>
                <w:noProof/>
                <w:sz w:val="20"/>
              </w:rPr>
              <w:t>1.3. Las relaciones entre normas y la autonomía individual: la irrenunciabilidad de derechos del trabajador</w:t>
            </w:r>
            <w:r>
              <w:rPr>
                <w:rFonts w:ascii="Arial Narrow" w:hAnsi="Arial Narrow"/>
                <w:noProof/>
                <w:sz w:val="20"/>
              </w:rPr>
              <w:t xml:space="preserve">). 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2. La interpretación de las normas laborales: el principio </w:t>
            </w:r>
            <w:r>
              <w:rPr>
                <w:rFonts w:ascii="Arial Narrow" w:hAnsi="Arial Narrow"/>
                <w:noProof/>
                <w:sz w:val="20"/>
              </w:rPr>
              <w:t>“</w:t>
            </w:r>
            <w:r w:rsidRPr="0008036D">
              <w:rPr>
                <w:rFonts w:ascii="Arial Narrow" w:hAnsi="Arial Narrow"/>
                <w:i/>
                <w:noProof/>
                <w:sz w:val="20"/>
              </w:rPr>
              <w:t>in dubio pro operario</w:t>
            </w:r>
            <w:r>
              <w:rPr>
                <w:rFonts w:ascii="Arial Narrow" w:hAnsi="Arial Narrow"/>
                <w:i/>
                <w:noProof/>
                <w:sz w:val="20"/>
              </w:rPr>
              <w:t>”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La prescripción y caducidad de derechos.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 normativo y jurisprudencial: supuesto práctico)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 aplicación de las fuentes normativas del Derecho del Trabajo (II)</w:t>
            </w:r>
          </w:p>
          <w:p w:rsidR="00370323" w:rsidRPr="0008036D" w:rsidRDefault="00370323" w:rsidP="001E753F">
            <w:pPr>
              <w:spacing w:line="240" w:lineRule="atLeast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1. </w:t>
            </w:r>
            <w:smartTag w:uri="urn:schemas-microsoft-com:office:smarttags" w:element="PersonName">
              <w:smartTagPr>
                <w:attr w:name="ProductID" w:val="La Administraci￳n Laboral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Administración Laboral</w:t>
              </w:r>
            </w:smartTag>
            <w:r w:rsidRPr="0008036D">
              <w:rPr>
                <w:rFonts w:ascii="Arial Narrow" w:hAnsi="Arial Narrow"/>
                <w:noProof/>
                <w:sz w:val="20"/>
              </w:rPr>
              <w:t>: organización y funciones.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2.. </w:t>
            </w:r>
            <w:smartTag w:uri="urn:schemas-microsoft-com:office:smarttags" w:element="PersonName">
              <w:smartTagPr>
                <w:attr w:name="ProductID" w:val="La Administraci￳n Laboral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Administración Laboral</w:t>
              </w:r>
            </w:smartTag>
            <w:r w:rsidRPr="0008036D">
              <w:rPr>
                <w:rFonts w:ascii="Arial Narrow" w:hAnsi="Arial Narrow"/>
                <w:noProof/>
                <w:sz w:val="20"/>
              </w:rPr>
              <w:t xml:space="preserve"> del Estado. El Ministerio de Trabajo </w:t>
            </w:r>
            <w:r>
              <w:rPr>
                <w:rFonts w:ascii="Arial Narrow" w:hAnsi="Arial Narrow"/>
                <w:noProof/>
                <w:sz w:val="20"/>
              </w:rPr>
              <w:t>e Inmigración (</w:t>
            </w:r>
            <w:r w:rsidRPr="0008036D">
              <w:rPr>
                <w:rFonts w:ascii="Arial Narrow" w:hAnsi="Arial Narrow"/>
                <w:noProof/>
                <w:sz w:val="20"/>
              </w:rPr>
              <w:t>2.1. Organización central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 La organización periférica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 Los organismos autónomos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3. </w:t>
            </w:r>
            <w:smartTag w:uri="urn:schemas-microsoft-com:office:smarttags" w:element="PersonName">
              <w:smartTagPr>
                <w:attr w:name="ProductID" w:val="La Administraci￳n Laboral Auton￳mica.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Administración Laboral Autonómica.</w:t>
              </w:r>
            </w:smartTag>
            <w:r w:rsidRPr="0008036D">
              <w:rPr>
                <w:rFonts w:ascii="Arial Narrow" w:hAnsi="Arial Narrow"/>
                <w:noProof/>
                <w:sz w:val="20"/>
              </w:rPr>
              <w:t xml:space="preserve"> En especial, la organización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08036D">
                <w:rPr>
                  <w:rFonts w:ascii="Arial Narrow" w:hAnsi="Arial Narrow"/>
                  <w:noProof/>
                  <w:sz w:val="20"/>
                </w:rPr>
                <w:t>la Comunidad Autónoma</w:t>
              </w:r>
            </w:smartTag>
            <w:r w:rsidRPr="0008036D">
              <w:rPr>
                <w:rFonts w:ascii="Arial Narrow" w:hAnsi="Arial Narrow"/>
                <w:noProof/>
                <w:sz w:val="20"/>
              </w:rPr>
              <w:t xml:space="preserve"> de Extremadura.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4.. La Inspección de Trabajo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08036D">
              <w:rPr>
                <w:rFonts w:ascii="Arial Narrow" w:hAnsi="Arial Narrow"/>
                <w:noProof/>
                <w:sz w:val="20"/>
              </w:rPr>
              <w:t>4.1. Carácter y regulación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4.2. Organización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4.3. Funciones y ámbito de actuación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4.4. La actuación de control del cumplimiento de la normativa laboral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4.5. La potestad sancionadora de la Administración en materia laboral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 normativo y jurisprudencial: supuesto práctico)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El contrato de trabajo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Concepto y presupuestos sustantivos. Relaciones excluidas.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Contratos afines.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Relaciones laborales de carácter especial.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(Examen y análisis de supuestos de relaciones laborales generales y especiales)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Los sujetos del contrato de trabajo</w:t>
            </w:r>
          </w:p>
          <w:p w:rsidR="00370323" w:rsidRDefault="00370323" w:rsidP="001E753F">
            <w:pPr>
              <w:spacing w:line="240" w:lineRule="atLeast"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1. El trabajador (</w:t>
            </w:r>
            <w:r w:rsidRPr="0008036D">
              <w:rPr>
                <w:rFonts w:ascii="Arial Narrow" w:hAnsi="Arial Narrow"/>
                <w:noProof/>
                <w:sz w:val="20"/>
              </w:rPr>
              <w:t>1.1. Noción jurídica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 La capacidad para contratar y sus límites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>2. El empresario (</w:t>
            </w:r>
            <w:r w:rsidRPr="0008036D">
              <w:rPr>
                <w:rFonts w:ascii="Arial Narrow" w:hAnsi="Arial Narrow"/>
                <w:noProof/>
                <w:sz w:val="20"/>
              </w:rPr>
              <w:t>2.1. Noción jurídica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 La empresa y el centro de trabajo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 Los problemas de identificación del empresario y de imputación de las responsabilidades empresariales</w:t>
            </w:r>
            <w:r>
              <w:rPr>
                <w:rFonts w:ascii="Arial Narrow" w:hAnsi="Arial Narrow"/>
                <w:noProof/>
                <w:sz w:val="20"/>
              </w:rPr>
              <w:t xml:space="preserve">: </w:t>
            </w:r>
            <w:r w:rsidRPr="0008036D">
              <w:rPr>
                <w:rFonts w:ascii="Arial Narrow" w:hAnsi="Arial Narrow"/>
                <w:noProof/>
                <w:sz w:val="20"/>
              </w:rPr>
              <w:t>2.3.1. Los grupos de empresas o grupos de sociedades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2.3.2. Las contratas y subcontratas de obras y servicios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2.3.3. La cesión temporal de mano de obra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2.3.4. Las empresas de trabajo temporal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Constitución, elementos y efectos de la relación de trabajo</w:t>
            </w:r>
          </w:p>
          <w:p w:rsidR="00370323" w:rsidRDefault="00370323" w:rsidP="001E753F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La libertad de contratación</w:t>
            </w:r>
            <w:r>
              <w:rPr>
                <w:rFonts w:ascii="Arial Narrow" w:hAnsi="Arial Narrow"/>
                <w:noProof/>
                <w:sz w:val="20"/>
              </w:rPr>
              <w:t xml:space="preserve"> empresarial y sus limitaciones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Elementos ese</w:t>
            </w:r>
            <w:r>
              <w:rPr>
                <w:rFonts w:ascii="Arial Narrow" w:hAnsi="Arial Narrow"/>
                <w:noProof/>
                <w:sz w:val="20"/>
              </w:rPr>
              <w:t xml:space="preserve">nciales </w:t>
            </w:r>
            <w:r>
              <w:rPr>
                <w:rFonts w:ascii="Arial Narrow" w:hAnsi="Arial Narrow"/>
                <w:noProof/>
                <w:sz w:val="20"/>
              </w:rPr>
              <w:lastRenderedPageBreak/>
              <w:t>del contrato de trabajo (</w:t>
            </w:r>
            <w:r w:rsidRPr="0008036D">
              <w:rPr>
                <w:rFonts w:ascii="Arial Narrow" w:hAnsi="Arial Narrow"/>
                <w:noProof/>
                <w:sz w:val="20"/>
              </w:rPr>
              <w:t>2.1. El consentimiento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 El objeto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 La causa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La formalización del contrato de trabajo.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Pactos en el contrato de trabajo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08036D">
              <w:rPr>
                <w:rFonts w:ascii="Arial Narrow" w:hAnsi="Arial Narrow"/>
                <w:noProof/>
                <w:sz w:val="20"/>
              </w:rPr>
              <w:t>4.1. El período de prueba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4.2. El pacto de no competencia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4.3. El pacto de exclusividad o plena dedicación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4.4. El pacto de permanencia</w:t>
            </w:r>
            <w:r>
              <w:rPr>
                <w:rFonts w:ascii="Arial Narrow" w:hAnsi="Arial Narrow"/>
                <w:noProof/>
                <w:sz w:val="20"/>
              </w:rPr>
              <w:t xml:space="preserve">). </w:t>
            </w:r>
            <w:r w:rsidRPr="0008036D">
              <w:rPr>
                <w:rFonts w:ascii="Arial Narrow" w:hAnsi="Arial Narrow"/>
                <w:noProof/>
                <w:sz w:val="20"/>
              </w:rPr>
              <w:t>5. Validez del contrato y vicios que inciden en el mismo.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spacing w:line="240" w:lineRule="atLeast"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lastRenderedPageBreak/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11</w:t>
            </w:r>
            <w:proofErr w:type="gramStart"/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.</w:t>
            </w:r>
            <w:proofErr w:type="gramEnd"/>
            <w:r w:rsidRPr="0008036D">
              <w:rPr>
                <w:rFonts w:ascii="Arial Narrow" w:hAnsi="Arial Narrow"/>
                <w:b/>
                <w:noProof/>
                <w:sz w:val="20"/>
              </w:rPr>
              <w:t xml:space="preserve"> La posición jurídica del trabajador: derechos y deberes básicos</w:t>
            </w:r>
          </w:p>
          <w:p w:rsidR="00370323" w:rsidRPr="0008036D" w:rsidRDefault="00370323" w:rsidP="001E753F">
            <w:pPr>
              <w:spacing w:line="240" w:lineRule="atLeast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1. Derechos laborales básicos (</w:t>
            </w:r>
            <w:r w:rsidRPr="0008036D">
              <w:rPr>
                <w:rFonts w:ascii="Arial Narrow" w:hAnsi="Arial Narrow"/>
                <w:noProof/>
                <w:sz w:val="20"/>
              </w:rPr>
              <w:t>1.1. Ocupación efectiva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1.2.  Promoción y formación profesional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1.3. No discriminación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1.4. Integridad física: seguridad e higiene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1.5. Intimidad y dignidad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1.6. Puntualidad en la remuneración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1.7. Ejercicio de acciones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Deberes laborales básicos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08036D">
              <w:rPr>
                <w:rFonts w:ascii="Arial Narrow" w:hAnsi="Arial Narrow"/>
                <w:noProof/>
                <w:sz w:val="20"/>
              </w:rPr>
              <w:t>2.1. Deber de diligencia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2.2. Deber de buena fe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2.3. Observancia de medidas de seguridad e higiene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2.4. Deber de obediencia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2.5. Deber de no concurrencia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2.6. Mejora de la productividad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Práctica: 1 (Supuestos prácticos: aplicación normativo y jurisprudencial) 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La posición jurídica del empresario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Las prestaciones del empresario.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El poder de dirección y sus límites.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El poder disciplinario: faltas y sanciones.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Infracciones y delitos de los empresarios en materia laboral.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El tiempo de la prestación laboral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Jornada de trabajo.</w:t>
            </w:r>
            <w:r>
              <w:rPr>
                <w:rFonts w:ascii="Arial Narrow" w:hAnsi="Arial Narrow"/>
                <w:noProof/>
                <w:sz w:val="20"/>
              </w:rPr>
              <w:t xml:space="preserve"> 2. Jornadas especiales (</w:t>
            </w:r>
            <w:r w:rsidRPr="0008036D">
              <w:rPr>
                <w:rFonts w:ascii="Arial Narrow" w:hAnsi="Arial Narrow"/>
                <w:noProof/>
                <w:sz w:val="20"/>
              </w:rPr>
              <w:t>2.1. Ampliaciones de jornadas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 Limitaciones de jornada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3. Horario de trabajo.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4. Las horas extraordinarias.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5. Descanso semanal.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5. Fiestas laborales.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6. Calendario laboral.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7. Vacaciones anuales.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8. Licencias y permisos retribuidos.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Teoría: 2 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001" w:type="dxa"/>
            <w:gridSpan w:val="8"/>
            <w:vAlign w:val="center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El salario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Concepto.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Estructura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08036D">
              <w:rPr>
                <w:rFonts w:ascii="Arial Narrow" w:hAnsi="Arial Narrow"/>
                <w:noProof/>
                <w:sz w:val="20"/>
              </w:rPr>
              <w:t>2.1. Salario base</w:t>
            </w:r>
            <w:r>
              <w:rPr>
                <w:rFonts w:ascii="Arial Narrow" w:hAnsi="Arial Narrow"/>
                <w:noProof/>
                <w:sz w:val="20"/>
              </w:rPr>
              <w:t xml:space="preserve">;  </w:t>
            </w:r>
            <w:r w:rsidRPr="0008036D">
              <w:rPr>
                <w:rFonts w:ascii="Arial Narrow" w:hAnsi="Arial Narrow"/>
                <w:noProof/>
                <w:sz w:val="20"/>
              </w:rPr>
              <w:t>2.2. Complementos salariales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2.3 Gratificaciones extraordinarias</w:t>
            </w:r>
            <w:r>
              <w:rPr>
                <w:rFonts w:ascii="Arial Narrow" w:hAnsi="Arial Narrow"/>
                <w:noProof/>
                <w:sz w:val="20"/>
              </w:rPr>
              <w:t xml:space="preserve">). </w:t>
            </w:r>
            <w:r w:rsidRPr="0008036D">
              <w:rPr>
                <w:rFonts w:ascii="Arial Narrow" w:hAnsi="Arial Narrow"/>
                <w:noProof/>
                <w:sz w:val="20"/>
              </w:rPr>
              <w:t>3. Clases de salario.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Percepciones extrasalariales.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5. Deducciones del salario.6. El pago del salario.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7. Modalidades de pago.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8. El salario mínimo interprofesional.</w:t>
            </w:r>
            <w:r>
              <w:rPr>
                <w:rFonts w:ascii="Arial Narrow" w:hAnsi="Arial Narrow"/>
                <w:noProof/>
                <w:sz w:val="20"/>
              </w:rPr>
              <w:t xml:space="preserve"> 9. Garantías de salario.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604E46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(Elaboración y análisis de nóminas)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Modalidades de contratación</w:t>
            </w:r>
          </w:p>
          <w:p w:rsidR="00370323" w:rsidRDefault="00370323" w:rsidP="001E753F">
            <w:pPr>
              <w:widowControl w:val="0"/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1. M</w:t>
            </w:r>
            <w:r w:rsidRPr="003F6717">
              <w:rPr>
                <w:rFonts w:ascii="Arial Narrow" w:hAnsi="Arial Narrow"/>
                <w:noProof/>
                <w:sz w:val="20"/>
              </w:rPr>
              <w:t>odalidades del contrato de trabajo</w:t>
            </w:r>
            <w:r>
              <w:rPr>
                <w:rFonts w:ascii="Arial Narrow" w:hAnsi="Arial Narrow"/>
                <w:noProof/>
                <w:sz w:val="20"/>
              </w:rPr>
              <w:t xml:space="preserve"> (</w:t>
            </w:r>
            <w:r w:rsidRPr="003F6717">
              <w:rPr>
                <w:rFonts w:ascii="Arial Narrow" w:hAnsi="Arial Narrow"/>
                <w:noProof/>
                <w:sz w:val="20"/>
              </w:rPr>
              <w:t>1.1  Principio de causalidad en la contratación temporal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3F6717">
              <w:rPr>
                <w:rFonts w:ascii="Arial Narrow" w:hAnsi="Arial Narrow"/>
                <w:noProof/>
                <w:sz w:val="20"/>
              </w:rPr>
              <w:t>1.2 Tipología y modalidades de contratación temporal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3F6717">
              <w:rPr>
                <w:rFonts w:ascii="Arial Narrow" w:hAnsi="Arial Narrow"/>
                <w:noProof/>
                <w:sz w:val="20"/>
              </w:rPr>
              <w:t>1.3  Mecanismos de protección de los trabajadores temporales</w:t>
            </w:r>
            <w:r>
              <w:rPr>
                <w:rFonts w:ascii="Arial Narrow" w:hAnsi="Arial Narrow"/>
                <w:noProof/>
                <w:sz w:val="20"/>
              </w:rPr>
              <w:t xml:space="preserve">). </w:t>
            </w:r>
            <w:r w:rsidRPr="003F6717">
              <w:rPr>
                <w:rFonts w:ascii="Arial Narrow" w:hAnsi="Arial Narrow"/>
                <w:noProof/>
                <w:sz w:val="20"/>
              </w:rPr>
              <w:t>2. La contratación temporal estructural</w:t>
            </w:r>
            <w:r>
              <w:rPr>
                <w:rFonts w:ascii="Arial Narrow" w:hAnsi="Arial Narrow"/>
                <w:noProof/>
                <w:sz w:val="20"/>
              </w:rPr>
              <w:t xml:space="preserve">.  </w:t>
            </w:r>
            <w:r w:rsidRPr="003F6717">
              <w:rPr>
                <w:rFonts w:ascii="Arial Narrow" w:hAnsi="Arial Narrow"/>
                <w:noProof/>
                <w:sz w:val="20"/>
              </w:rPr>
              <w:t>3. Los contratos temporales</w:t>
            </w:r>
            <w:r>
              <w:rPr>
                <w:rFonts w:ascii="Arial Narrow" w:hAnsi="Arial Narrow"/>
                <w:noProof/>
                <w:sz w:val="20"/>
              </w:rPr>
              <w:t xml:space="preserve">. </w:t>
            </w:r>
            <w:r w:rsidRPr="003F6717">
              <w:rPr>
                <w:rFonts w:ascii="Arial Narrow" w:hAnsi="Arial Narrow"/>
                <w:noProof/>
                <w:sz w:val="20"/>
              </w:rPr>
              <w:t>4.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3F6717">
              <w:rPr>
                <w:rFonts w:ascii="Arial Narrow" w:hAnsi="Arial Narrow"/>
                <w:noProof/>
                <w:sz w:val="20"/>
              </w:rPr>
              <w:t>Contratos de trabajo a tiempo parcial</w:t>
            </w:r>
            <w:r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(Redacción y análisis de contratos de trabajo)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Vicisitudes de la relación de trabajo</w:t>
            </w:r>
          </w:p>
          <w:p w:rsidR="00370323" w:rsidRPr="0008036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1. L</w:t>
            </w:r>
            <w:r w:rsidRPr="0008036D">
              <w:rPr>
                <w:rFonts w:ascii="Arial Narrow" w:hAnsi="Arial Narrow"/>
                <w:noProof/>
                <w:sz w:val="20"/>
              </w:rPr>
              <w:t>a transmisión de empresas.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La movilidad funcional.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La movilidad geográfica: traslados y desplazamientos.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.4. La modificación sustancial de las condiciones de trabajo.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5. Los ascensos.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6. La suspensión de la relación laboral. Las excedencias.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Extinción del contrato (I).</w:t>
            </w:r>
          </w:p>
          <w:p w:rsidR="00370323" w:rsidRDefault="00370323" w:rsidP="001E753F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Concepto y causas de extinción.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Extinción por voluntad del empresario: el despido del trabajador.</w:t>
            </w:r>
            <w:r>
              <w:rPr>
                <w:rFonts w:ascii="Arial Narrow" w:hAnsi="Arial Narrow"/>
                <w:noProof/>
                <w:sz w:val="20"/>
              </w:rPr>
              <w:t xml:space="preserve"> 3. El despido disciplinario (</w:t>
            </w:r>
            <w:r w:rsidRPr="0008036D">
              <w:rPr>
                <w:rFonts w:ascii="Arial Narrow" w:hAnsi="Arial Narrow"/>
                <w:noProof/>
                <w:sz w:val="20"/>
              </w:rPr>
              <w:t>3.1. Causas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3.2. Procedimiento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3.3. Efectos jurídicos</w:t>
            </w:r>
            <w:r>
              <w:rPr>
                <w:rFonts w:ascii="Arial Narrow" w:hAnsi="Arial Narrow"/>
                <w:noProof/>
                <w:sz w:val="20"/>
              </w:rPr>
              <w:t xml:space="preserve">; </w:t>
            </w:r>
            <w:r w:rsidRPr="0008036D">
              <w:rPr>
                <w:rFonts w:ascii="Arial Narrow" w:hAnsi="Arial Narrow"/>
                <w:noProof/>
                <w:sz w:val="20"/>
              </w:rPr>
              <w:t>3.4. Revisión judicial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  <w:r w:rsidRPr="0008036D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El despido por fuerza mayor.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5. El despido colectivo.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6. El despido por causas objetivas</w:t>
            </w:r>
            <w:r>
              <w:rPr>
                <w:rFonts w:ascii="Arial Narrow" w:hAnsi="Arial Narrow"/>
                <w:noProof/>
                <w:sz w:val="20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lastRenderedPageBreak/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b/>
                <w:noProof/>
                <w:sz w:val="20"/>
              </w:rPr>
              <w:t>Extinción del contrato (II)</w:t>
            </w:r>
          </w:p>
          <w:p w:rsidR="00370323" w:rsidRPr="00C23250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del tema </w:t>
            </w: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1. Por dimisión del trabajador.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2. Por voluntad del trabajador fundada en un incumplimiento contractual del empresario.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3. Por mutuo acuerdo de las partes.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4. Por las causas consignadas válidamente en el contrato.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5. Por expiración del tiempo convenido o realización de la obra o servicio objeto del contrato.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6. Por muerte, gran invalidez o incapacidad permanente total o absoluta y jubilación del trabajador.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08036D">
              <w:rPr>
                <w:rFonts w:ascii="Arial Narrow" w:hAnsi="Arial Narrow"/>
                <w:noProof/>
                <w:sz w:val="20"/>
              </w:rPr>
              <w:t>7. Por muerte, jubilación o incapacidad del empresario.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Pr="0008036D">
              <w:rPr>
                <w:rFonts w:ascii="Arial Narrow" w:hAnsi="Arial Narrow"/>
                <w:noProof/>
                <w:sz w:val="20"/>
              </w:rPr>
              <w:t>8. Por extinción de la personalidad jurídica del contratante</w:t>
            </w:r>
            <w:r>
              <w:rPr>
                <w:rFonts w:ascii="Arial Narrow" w:hAnsi="Arial Narrow"/>
                <w:noProof/>
                <w:sz w:val="20"/>
              </w:rPr>
              <w:t xml:space="preserve">. </w:t>
            </w:r>
            <w:r w:rsidRPr="0008036D">
              <w:rPr>
                <w:rFonts w:ascii="Arial Narrow" w:hAnsi="Arial Narrow"/>
                <w:noProof/>
                <w:sz w:val="20"/>
              </w:rPr>
              <w:t>9. Extinción en concurso</w:t>
            </w:r>
            <w:r>
              <w:rPr>
                <w:rFonts w:ascii="Arial Narrow" w:hAnsi="Arial Narrow"/>
                <w:noProof/>
                <w:sz w:val="20"/>
              </w:rPr>
              <w:t xml:space="preserve">. </w:t>
            </w:r>
            <w:r w:rsidRPr="00C23250">
              <w:rPr>
                <w:rFonts w:ascii="Arial Narrow" w:hAnsi="Arial Narrow"/>
                <w:noProof/>
                <w:sz w:val="20"/>
                <w:szCs w:val="20"/>
              </w:rPr>
              <w:t>10. Extinción por víctima de violencia de género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b/>
              </w:rPr>
              <w:br w:type="page"/>
            </w:r>
            <w:r>
              <w:rPr>
                <w:rFonts w:ascii="Tahoma" w:hAnsi="Tahoma" w:cs="Tahoma"/>
                <w:sz w:val="22"/>
                <w:szCs w:val="22"/>
              </w:rPr>
              <w:t>Teoría: 2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Práctica: 1 (Supuestos prácticos: aplicación normativo y jurisprudencial)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 xml:space="preserve">Actividades formativas 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21" w:type="dxa"/>
            <w:gridSpan w:val="3"/>
            <w:vAlign w:val="center"/>
          </w:tcPr>
          <w:p w:rsidR="00370323" w:rsidRPr="00783755" w:rsidRDefault="00370323" w:rsidP="001E75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Horas de trabajo del alumno por tema</w:t>
            </w:r>
          </w:p>
        </w:tc>
        <w:tc>
          <w:tcPr>
            <w:tcW w:w="2185" w:type="dxa"/>
            <w:gridSpan w:val="2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Presencial</w:t>
            </w:r>
          </w:p>
        </w:tc>
        <w:tc>
          <w:tcPr>
            <w:tcW w:w="1582" w:type="dxa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 de seguimiento</w:t>
            </w:r>
          </w:p>
        </w:tc>
        <w:tc>
          <w:tcPr>
            <w:tcW w:w="1213" w:type="dxa"/>
            <w:gridSpan w:val="2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No presencial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otal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GG</w:t>
            </w:r>
          </w:p>
        </w:tc>
        <w:tc>
          <w:tcPr>
            <w:tcW w:w="917" w:type="dxa"/>
          </w:tcPr>
          <w:p w:rsidR="00370323" w:rsidRPr="002A3EEA" w:rsidRDefault="00370323" w:rsidP="001E753F">
            <w:pPr>
              <w:jc w:val="center"/>
              <w:rPr>
                <w:rFonts w:ascii="Tahoma" w:hAnsi="Tahoma" w:cs="Tahoma"/>
                <w:b/>
                <w:strike/>
                <w:sz w:val="20"/>
                <w:szCs w:val="20"/>
              </w:rPr>
            </w:pPr>
            <w:r w:rsidRPr="002A3EEA">
              <w:rPr>
                <w:rFonts w:ascii="Tahoma" w:hAnsi="Tahoma" w:cs="Tahoma"/>
                <w:b/>
                <w:strike/>
                <w:sz w:val="20"/>
                <w:szCs w:val="20"/>
              </w:rPr>
              <w:t>SL</w:t>
            </w:r>
          </w:p>
        </w:tc>
        <w:tc>
          <w:tcPr>
            <w:tcW w:w="1582" w:type="dxa"/>
          </w:tcPr>
          <w:p w:rsidR="00370323" w:rsidRPr="002A3EEA" w:rsidRDefault="00370323" w:rsidP="001E753F">
            <w:pPr>
              <w:jc w:val="center"/>
              <w:rPr>
                <w:rFonts w:ascii="Tahoma" w:hAnsi="Tahoma" w:cs="Tahoma"/>
                <w:b/>
                <w:strike/>
                <w:sz w:val="20"/>
                <w:szCs w:val="20"/>
              </w:rPr>
            </w:pPr>
            <w:r w:rsidRPr="002A3EEA">
              <w:rPr>
                <w:rFonts w:ascii="Tahoma" w:hAnsi="Tahoma" w:cs="Tahoma"/>
                <w:b/>
                <w:strike/>
                <w:sz w:val="20"/>
                <w:szCs w:val="20"/>
              </w:rPr>
              <w:t>TP</w:t>
            </w: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EP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Teoría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 Práctica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Evaluación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Evaluación del conjunto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650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268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17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GG: Grupo Grande (100 estudiantes).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SL: Seminario/Laboratorio (prácticas clínicas hospitalarias = 7 estudiantes; prácticas laboratorio o campo = 15; prácticas sala ordenador o laboratorio de idiomas = 30, clases problemas o seminarios o casos prácticos = 40).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TP: Tutorías P</w:t>
            </w:r>
            <w:r>
              <w:rPr>
                <w:rFonts w:ascii="Tahoma" w:hAnsi="Tahoma" w:cs="Tahoma"/>
                <w:sz w:val="20"/>
                <w:szCs w:val="20"/>
              </w:rPr>
              <w:t>rogramadas (seguimiento docente, tipo tutorías ECTS)</w:t>
            </w:r>
            <w:r w:rsidRPr="0078375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70323" w:rsidRPr="00783755" w:rsidRDefault="00370323" w:rsidP="001E753F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EP: Estudio personal</w:t>
            </w:r>
            <w:r>
              <w:rPr>
                <w:rFonts w:ascii="Tahoma" w:hAnsi="Tahoma" w:cs="Tahoma"/>
                <w:sz w:val="20"/>
                <w:szCs w:val="20"/>
              </w:rPr>
              <w:t>, trabajos individuales o en grupo,</w:t>
            </w:r>
            <w:r w:rsidRPr="00783755">
              <w:rPr>
                <w:rFonts w:ascii="Tahoma" w:hAnsi="Tahoma" w:cs="Tahoma"/>
                <w:sz w:val="20"/>
                <w:szCs w:val="20"/>
              </w:rPr>
              <w:t xml:space="preserve"> y lectura de bibliografía.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Sistemas de evaluación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 w:val="22"/>
                <w:szCs w:val="22"/>
              </w:rPr>
              <w:t>La evaluación de la asignatura consistirá en la superación de un examen final referido a los conocimientos teóricos y prácticos adquiridos por el alumno. El examen consistirá en una prueba escrita compuesta por preguntas de desarrollo, preguntas cortas o tipo test. Para la valoración final de la prueba se determinará previamente el valor de cada pregunta.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 preguntas tipo test incorrectas restarán el 50% del valor de las correctas.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Para el cálculo de la nota final se podrá tener en cuenta la participación y asistencia del alumno a las clases teóricas y a las prácticas realizadas en Grupo Grande, así como la intervención y defensa de los casos prácticos y trabajos en el aula.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Valoración parte teórica: 60 % 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Valoración parte práctica:  40 %</w:t>
            </w:r>
          </w:p>
          <w:bookmarkEnd w:id="0"/>
          <w:bookmarkEnd w:id="1"/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Bibliografía y otros recursos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Pr="00401BBD" w:rsidRDefault="00370323" w:rsidP="001E753F">
            <w:pPr>
              <w:spacing w:line="240" w:lineRule="atLeast"/>
              <w:jc w:val="center"/>
              <w:outlineLvl w:val="0"/>
              <w:rPr>
                <w:rFonts w:ascii="Arial Narrow" w:hAnsi="Arial Narrow"/>
                <w:b/>
                <w:noProof/>
                <w:sz w:val="22"/>
              </w:rPr>
            </w:pPr>
            <w:r w:rsidRPr="00401BBD">
              <w:rPr>
                <w:rFonts w:ascii="Arial Narrow" w:hAnsi="Arial Narrow"/>
                <w:b/>
                <w:noProof/>
                <w:sz w:val="22"/>
              </w:rPr>
              <w:t xml:space="preserve">1. </w:t>
            </w:r>
            <w:r w:rsidRPr="00401BBD">
              <w:rPr>
                <w:rFonts w:ascii="Arial Narrow" w:hAnsi="Arial Narrow"/>
                <w:b/>
                <w:noProof/>
                <w:sz w:val="22"/>
                <w:u w:val="single"/>
              </w:rPr>
              <w:t>Tratados, manuales y obras de carácter general</w:t>
            </w:r>
            <w:r w:rsidRPr="00401BBD">
              <w:rPr>
                <w:rFonts w:ascii="Arial Narrow" w:hAnsi="Arial Narrow"/>
                <w:b/>
                <w:noProof/>
                <w:sz w:val="22"/>
              </w:rPr>
              <w:t>.</w:t>
            </w:r>
          </w:p>
          <w:p w:rsidR="00370323" w:rsidRPr="00401BBD" w:rsidRDefault="00370323" w:rsidP="001E753F">
            <w:pPr>
              <w:spacing w:line="240" w:lineRule="atLeast"/>
              <w:ind w:left="720" w:hanging="720"/>
              <w:jc w:val="both"/>
              <w:outlineLvl w:val="0"/>
              <w:rPr>
                <w:rFonts w:ascii="Arial Narrow" w:hAnsi="Arial Narrow"/>
                <w:b/>
                <w:noProof/>
                <w:sz w:val="20"/>
              </w:rPr>
            </w:pPr>
          </w:p>
          <w:p w:rsidR="00370323" w:rsidRPr="00401BBD" w:rsidRDefault="00370323" w:rsidP="001E753F">
            <w:pPr>
              <w:spacing w:line="240" w:lineRule="atLeast"/>
              <w:ind w:left="720" w:hanging="720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MONTOYA MELGAR, A.: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Tecnos.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ALONSO OLEA, M. y CASAS BAAMONDE, M.E.: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Civitas.</w:t>
            </w:r>
          </w:p>
          <w:p w:rsidR="00370323" w:rsidRPr="00401BBD" w:rsidRDefault="00370323" w:rsidP="001E753F">
            <w:pPr>
              <w:spacing w:line="240" w:lineRule="atLeast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SALA FRANCO, T. Y OTROS: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Tirant lo Blanch.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BORRAJO DACRUZ, E.: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Introducción al Derecho Español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Tecnos.</w:t>
            </w:r>
          </w:p>
          <w:p w:rsidR="00370323" w:rsidRPr="00401BBD" w:rsidRDefault="00370323" w:rsidP="001E753F">
            <w:pPr>
              <w:spacing w:line="240" w:lineRule="atLeast"/>
              <w:jc w:val="both"/>
              <w:outlineLvl w:val="0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MARTÍN VALVERDE, A. Y OTROS: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Tecnos.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QUESADA SEGURA, R. Y OTROS: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Lecciones de 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Centro de Estudios Ramón Areces.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SAGARDOY BENGOECHEA, J.A.: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Prontuario de Derecho del Trabajo</w:t>
            </w:r>
            <w:r w:rsidRPr="00401BBD">
              <w:rPr>
                <w:rFonts w:ascii="Arial Narrow" w:hAnsi="Arial Narrow"/>
                <w:noProof/>
                <w:sz w:val="20"/>
              </w:rPr>
              <w:t>, Editorial Civitas.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PALOMEQUE LÓPEZ, M.C. Y ÁLVAREZ DE LA ROSA, M.: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 xml:space="preserve">Derecho del Trabajo, </w:t>
            </w:r>
            <w:r w:rsidRPr="00401BBD">
              <w:rPr>
                <w:rFonts w:ascii="Arial Narrow" w:hAnsi="Arial Narrow"/>
                <w:noProof/>
                <w:sz w:val="20"/>
              </w:rPr>
              <w:t>CEURA.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i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>MOLERO MANGLANO, C. Y OTROS;</w:t>
            </w:r>
            <w:r w:rsidRPr="00401BBD">
              <w:rPr>
                <w:rFonts w:ascii="Arial Narrow" w:hAnsi="Arial Narrow"/>
                <w:noProof/>
                <w:sz w:val="20"/>
              </w:rPr>
              <w:t xml:space="preserve">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Manual de Derecho del Trabajo, McGraw Hill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i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BARRIOS BAUDOR, G. Y OTROS</w:t>
            </w:r>
            <w:r w:rsidRPr="00401BBD">
              <w:rPr>
                <w:rFonts w:ascii="Arial Narrow" w:hAnsi="Arial Narrow"/>
                <w:b/>
                <w:noProof/>
                <w:sz w:val="20"/>
              </w:rPr>
              <w:t>;</w:t>
            </w:r>
            <w:r w:rsidRPr="00401BBD"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0"/>
              </w:rPr>
              <w:t>Asesor Labora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,</w:t>
            </w:r>
            <w:r>
              <w:rPr>
                <w:rFonts w:ascii="Arial Narrow" w:hAnsi="Arial Narrow"/>
                <w:i/>
                <w:noProof/>
                <w:sz w:val="20"/>
              </w:rPr>
              <w:t>Thomson Reuters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l</w:t>
            </w:r>
          </w:p>
          <w:p w:rsidR="00370323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2"/>
              </w:rPr>
            </w:pPr>
          </w:p>
          <w:p w:rsidR="00370323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2"/>
              </w:rPr>
            </w:pP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2"/>
              </w:rPr>
            </w:pPr>
          </w:p>
          <w:p w:rsidR="00370323" w:rsidRPr="00401BBD" w:rsidRDefault="00370323" w:rsidP="001E753F">
            <w:pPr>
              <w:spacing w:line="240" w:lineRule="atLeast"/>
              <w:jc w:val="center"/>
              <w:outlineLvl w:val="0"/>
              <w:rPr>
                <w:rFonts w:ascii="Arial Narrow" w:hAnsi="Arial Narrow"/>
                <w:b/>
                <w:noProof/>
                <w:sz w:val="22"/>
              </w:rPr>
            </w:pPr>
            <w:r w:rsidRPr="00401BBD">
              <w:rPr>
                <w:rFonts w:ascii="Arial Narrow" w:hAnsi="Arial Narrow"/>
                <w:b/>
                <w:noProof/>
                <w:sz w:val="22"/>
              </w:rPr>
              <w:t xml:space="preserve">2. </w:t>
            </w:r>
            <w:r w:rsidRPr="00401BBD">
              <w:rPr>
                <w:rFonts w:ascii="Arial Narrow" w:hAnsi="Arial Narrow"/>
                <w:b/>
                <w:noProof/>
                <w:sz w:val="22"/>
                <w:u w:val="single"/>
              </w:rPr>
              <w:t>Repertorios legislativos</w:t>
            </w:r>
            <w:r w:rsidRPr="00401BBD">
              <w:rPr>
                <w:rFonts w:ascii="Arial Narrow" w:hAnsi="Arial Narrow"/>
                <w:b/>
                <w:noProof/>
                <w:sz w:val="22"/>
              </w:rPr>
              <w:t>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b/>
                <w:noProof/>
                <w:sz w:val="20"/>
              </w:rPr>
            </w:pP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b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GALIANA MORENO, J.M. Y SEMPERE NAVARRO, A.V.: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 xml:space="preserve">Legislación Laboral y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401BBD">
                <w:rPr>
                  <w:rFonts w:ascii="Arial Narrow" w:hAnsi="Arial Narrow"/>
                  <w:i/>
                  <w:noProof/>
                  <w:sz w:val="20"/>
                </w:rPr>
                <w:t>la Seguridad Social</w:t>
              </w:r>
            </w:smartTag>
            <w:r w:rsidRPr="00401BBD">
              <w:rPr>
                <w:rFonts w:ascii="Arial Narrow" w:hAnsi="Arial Narrow"/>
                <w:noProof/>
                <w:sz w:val="20"/>
              </w:rPr>
              <w:t>, Editorial Aranzadi.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SERRANO, J.E., LÓPEZ, J. Y SEQUEIRA, M.: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>Legislación social básica</w:t>
            </w:r>
            <w:r w:rsidRPr="00401BBD">
              <w:rPr>
                <w:rFonts w:ascii="Arial Narrow" w:hAnsi="Arial Narrow"/>
                <w:noProof/>
                <w:sz w:val="20"/>
              </w:rPr>
              <w:t>, Editorial Civitas.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  <w:r w:rsidRPr="00401BBD">
              <w:rPr>
                <w:rFonts w:ascii="Arial Narrow" w:hAnsi="Arial Narrow"/>
                <w:b/>
                <w:noProof/>
                <w:sz w:val="20"/>
              </w:rPr>
              <w:t xml:space="preserve">RODRÍGUEZ-PIÑERO, M., OJEDA AVILÉS, A., y FERNÁNDEZ LÓPEZ, M.F.: </w:t>
            </w:r>
            <w:r w:rsidRPr="00401BBD">
              <w:rPr>
                <w:rFonts w:ascii="Arial Narrow" w:hAnsi="Arial Narrow"/>
                <w:i/>
                <w:noProof/>
                <w:sz w:val="20"/>
              </w:rPr>
              <w:t xml:space="preserve">Legislación laboral, </w:t>
            </w:r>
            <w:r w:rsidRPr="00401BBD">
              <w:rPr>
                <w:rFonts w:ascii="Arial Narrow" w:hAnsi="Arial Narrow"/>
                <w:noProof/>
                <w:sz w:val="20"/>
              </w:rPr>
              <w:t>Editorial Tecnos.</w:t>
            </w:r>
          </w:p>
          <w:p w:rsidR="00370323" w:rsidRPr="00401BBD" w:rsidRDefault="00370323" w:rsidP="001E753F">
            <w:pPr>
              <w:spacing w:line="240" w:lineRule="atLeast"/>
              <w:jc w:val="both"/>
              <w:rPr>
                <w:rFonts w:ascii="Arial Narrow" w:hAnsi="Arial Narrow"/>
                <w:noProof/>
                <w:sz w:val="20"/>
              </w:rPr>
            </w:pP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Horario de tutorías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9001" w:type="dxa"/>
            <w:gridSpan w:val="8"/>
          </w:tcPr>
          <w:p w:rsidR="00370323" w:rsidRPr="002A3EEA" w:rsidRDefault="00370323" w:rsidP="001E753F">
            <w:pPr>
              <w:jc w:val="both"/>
              <w:rPr>
                <w:rFonts w:ascii="Tahoma" w:hAnsi="Tahoma" w:cs="Tahoma"/>
                <w:strike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9001" w:type="dxa"/>
            <w:gridSpan w:val="8"/>
          </w:tcPr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Tutorías de libre acceso: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Profesor: </w:t>
            </w:r>
            <w:smartTag w:uri="urn:schemas-microsoft-com:office:smarttags" w:element="PersonName">
              <w:smartTagPr>
                <w:attr w:name="ProductID" w:val="Pedro Bravo"/>
              </w:smartTagPr>
              <w:r>
                <w:rPr>
                  <w:rFonts w:ascii="Tahoma" w:hAnsi="Tahoma" w:cs="Tahoma"/>
                  <w:sz w:val="22"/>
                  <w:szCs w:val="22"/>
                </w:rPr>
                <w:t>Pedro Bravo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Gutiérrez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Días-Horas: Lunes y martes (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19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horas )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Profesor: Mª Teresa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Viñuelas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Zahínos</w:t>
            </w:r>
            <w:proofErr w:type="spellEnd"/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Días-Horas: Lunes y martes (17 a 19 horas).</w:t>
            </w:r>
          </w:p>
          <w:p w:rsidR="00370323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01" w:type="dxa"/>
            <w:gridSpan w:val="8"/>
            <w:shd w:val="clear" w:color="auto" w:fill="CC99FF"/>
            <w:vAlign w:val="center"/>
          </w:tcPr>
          <w:p w:rsidR="00370323" w:rsidRPr="00783755" w:rsidRDefault="00370323" w:rsidP="001E75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Recomendaciones</w:t>
            </w:r>
          </w:p>
        </w:tc>
      </w:tr>
      <w:tr w:rsidR="00370323" w:rsidRPr="00783755" w:rsidTr="001E753F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9001" w:type="dxa"/>
            <w:gridSpan w:val="8"/>
          </w:tcPr>
          <w:p w:rsidR="00370323" w:rsidRPr="00783755" w:rsidRDefault="00370323" w:rsidP="001E75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70323" w:rsidRPr="00783755" w:rsidRDefault="00370323" w:rsidP="00370323">
      <w:pPr>
        <w:jc w:val="both"/>
      </w:pPr>
    </w:p>
    <w:sectPr w:rsidR="00370323" w:rsidRPr="0078375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00"/>
      <w:gridCol w:w="1798"/>
      <w:gridCol w:w="2225"/>
      <w:gridCol w:w="2781"/>
    </w:tblGrid>
    <w:tr w:rsidR="00560D4B" w:rsidRPr="00560D4B" w:rsidTr="000C1C64">
      <w:trPr>
        <w:trHeight w:val="716"/>
      </w:trPr>
      <w:tc>
        <w:tcPr>
          <w:tcW w:w="270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60D4B" w:rsidRPr="00560D4B" w:rsidRDefault="00370323" w:rsidP="00560D4B">
          <w:pPr>
            <w:jc w:val="both"/>
            <w:rPr>
              <w:rFonts w:ascii="Arial Narrow" w:hAnsi="Arial Narrow"/>
              <w:b/>
              <w:sz w:val="22"/>
              <w:lang w:val="es-ES_tradnl"/>
            </w:rPr>
          </w:pPr>
          <w:r>
            <w:rPr>
              <w:rFonts w:ascii="Arial Narrow" w:hAnsi="Arial Narrow"/>
              <w:b/>
              <w:noProof/>
              <w:sz w:val="22"/>
            </w:rPr>
            <w:drawing>
              <wp:inline distT="0" distB="0" distL="0" distR="0">
                <wp:extent cx="1543050" cy="590550"/>
                <wp:effectExtent l="19050" t="0" r="0" b="0"/>
                <wp:docPr id="1" name="2 Imagen" descr="Descripción: 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0D4B" w:rsidRPr="00560D4B" w:rsidRDefault="00370323" w:rsidP="00560D4B">
          <w:pPr>
            <w:jc w:val="center"/>
            <w:rPr>
              <w:rFonts w:ascii="Arial Narrow" w:hAnsi="Arial Narrow"/>
              <w:b/>
              <w:sz w:val="22"/>
              <w:szCs w:val="22"/>
              <w:lang w:val="es-ES_tradnl"/>
            </w:rPr>
          </w:pPr>
          <w:r w:rsidRPr="00560D4B">
            <w:rPr>
              <w:rFonts w:ascii="Arial Narrow" w:hAnsi="Arial Narrow"/>
              <w:b/>
              <w:sz w:val="22"/>
              <w:szCs w:val="22"/>
              <w:lang w:val="es-ES_tradnl"/>
            </w:rPr>
            <w:t>PROCEDIMIENTO DE COORDINACIÓN DE LA DOCENCIA</w:t>
          </w:r>
        </w:p>
      </w:tc>
      <w:tc>
        <w:tcPr>
          <w:tcW w:w="2781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60D4B" w:rsidRPr="00560D4B" w:rsidRDefault="00370323" w:rsidP="00560D4B">
          <w:pPr>
            <w:jc w:val="center"/>
            <w:rPr>
              <w:rFonts w:ascii="Arial Narrow" w:hAnsi="Arial Narrow"/>
              <w:sz w:val="22"/>
              <w:szCs w:val="22"/>
              <w:lang w:val="es-ES_tradnl"/>
            </w:rPr>
          </w:pPr>
          <w:r>
            <w:rPr>
              <w:rFonts w:ascii="Arial Narrow" w:hAnsi="Arial Narrow"/>
              <w:noProof/>
              <w:sz w:val="22"/>
              <w:szCs w:val="22"/>
            </w:rPr>
            <w:drawing>
              <wp:inline distT="0" distB="0" distL="0" distR="0">
                <wp:extent cx="1628775" cy="1114425"/>
                <wp:effectExtent l="19050" t="0" r="9525" b="0"/>
                <wp:docPr id="2" name="Imagen 4" descr="Descripción: Facultad de Econm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Facultad de Econm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0D4B" w:rsidRPr="00560D4B" w:rsidTr="000C1C64">
      <w:trPr>
        <w:trHeight w:val="710"/>
      </w:trPr>
      <w:tc>
        <w:tcPr>
          <w:tcW w:w="270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560D4B" w:rsidRPr="00560D4B" w:rsidRDefault="00370323" w:rsidP="00560D4B">
          <w:pPr>
            <w:jc w:val="center"/>
            <w:rPr>
              <w:rFonts w:ascii="Arial Narrow" w:hAnsi="Arial Narrow"/>
              <w:b/>
              <w:i/>
              <w:color w:val="0F809C"/>
              <w:lang w:val="es-ES_tradnl"/>
            </w:rPr>
          </w:pPr>
        </w:p>
      </w:tc>
      <w:tc>
        <w:tcPr>
          <w:tcW w:w="17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60D4B" w:rsidRPr="00560D4B" w:rsidRDefault="00370323" w:rsidP="00560D4B">
          <w:pPr>
            <w:jc w:val="center"/>
            <w:rPr>
              <w:rFonts w:ascii="Arial Narrow" w:hAnsi="Arial Narrow"/>
              <w:sz w:val="22"/>
              <w:szCs w:val="22"/>
              <w:lang w:val="es-ES_tradnl"/>
            </w:rPr>
          </w:pPr>
          <w:r w:rsidRPr="00560D4B">
            <w:rPr>
              <w:rFonts w:ascii="Arial Narrow" w:hAnsi="Arial Narrow"/>
              <w:sz w:val="22"/>
              <w:szCs w:val="22"/>
              <w:lang w:val="es-ES_tradnl"/>
            </w:rPr>
            <w:t>EDICIÓN: 1ª</w:t>
          </w: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60D4B" w:rsidRPr="00560D4B" w:rsidRDefault="00370323" w:rsidP="00560D4B">
          <w:pPr>
            <w:rPr>
              <w:rFonts w:ascii="Arial Narrow" w:hAnsi="Arial Narrow"/>
              <w:b/>
              <w:sz w:val="22"/>
              <w:szCs w:val="22"/>
              <w:lang w:val="es-ES_tradnl"/>
            </w:rPr>
          </w:pPr>
          <w:r w:rsidRPr="00560D4B">
            <w:rPr>
              <w:rFonts w:ascii="Arial Narrow" w:hAnsi="Arial Narrow"/>
              <w:b/>
              <w:sz w:val="22"/>
              <w:szCs w:val="22"/>
              <w:lang w:val="es-ES_tradnl"/>
            </w:rPr>
            <w:t>CÓDIGO: PCD_D002</w:t>
          </w:r>
        </w:p>
      </w:tc>
      <w:tc>
        <w:tcPr>
          <w:tcW w:w="2781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60D4B" w:rsidRPr="00560D4B" w:rsidRDefault="00370323" w:rsidP="00560D4B">
          <w:pPr>
            <w:jc w:val="center"/>
            <w:rPr>
              <w:rFonts w:ascii="Arial Narrow" w:hAnsi="Arial Narrow"/>
              <w:sz w:val="22"/>
              <w:szCs w:val="22"/>
              <w:lang w:val="es-ES_tradnl"/>
            </w:rPr>
          </w:pPr>
        </w:p>
      </w:tc>
    </w:tr>
  </w:tbl>
  <w:p w:rsidR="00604E46" w:rsidRDefault="00370323">
    <w:pPr>
      <w:pStyle w:val="Encabezado"/>
    </w:pPr>
    <w:r>
      <w:rPr>
        <w:noProof/>
      </w:rPr>
      <w:pict>
        <v:group id="_x0000_s1025" style="position:absolute;margin-left:-52.1pt;margin-top:-1pt;width:34.45pt;height:104.65pt;z-index:251660288;mso-position-horizontal-relative:text;mso-position-vertical-relative:text" coordorigin="1214,1213" coordsize="797,2554">
          <v:shape id="_x0000_s1026" style="position:absolute;left:1897;top:3703;width:111;height:64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>
            <v:path arrowok="t"/>
          </v:shape>
          <v:shape id="_x0000_s1027" style="position:absolute;left:1897;top:3582;width:108;height:69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>
            <v:path arrowok="t"/>
          </v:shape>
          <v:shape id="_x0000_s1028" style="position:absolute;left:1897;top:3510;width:108;height:19" coordsize="108,19" path="m108,19r-3,l91,19r-51,l3,19r-1,l2,16,,8,,2,2,,3,,17,,68,r37,l108,r,5l107,13r,6l108,19r,xe" fillcolor="#1f1a17" stroked="f">
            <v:path arrowok="t"/>
          </v:shape>
          <v:shape id="_x0000_s1029" style="position:absolute;left:1897;top:3392;width:108;height:75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>
            <v:path arrowok="t"/>
          </v:shape>
          <v:shape id="_x0000_s1030" style="position:absolute;left:1897;top:3306;width:108;height:45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>
            <v:path arrowok="t"/>
          </v:shape>
          <v:shape id="_x0000_s1031" style="position:absolute;left:1897;top:3201;width:108;height:56" coordsize="108,56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>
            <v:path arrowok="t"/>
            <o:lock v:ext="edit" verticies="t"/>
          </v:shape>
          <v:shape id="_x0000_s1032" style="position:absolute;left:1896;top:3110;width:112;height:52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>
            <v:path arrowok="t"/>
          </v:shape>
          <v:shape id="_x0000_s1033" style="position:absolute;left:1897;top:3041;width:108;height:20" coordsize="108,20" path="m108,20r-3,l91,20r-51,l3,20r-1,l2,17,,9,,2,2,,3,,17,,68,r37,l108,r,5l107,13r,7l108,20r,xe" fillcolor="#1f1a17" stroked="f">
            <v:path arrowok="t"/>
          </v:shape>
          <v:shape id="_x0000_s1034" style="position:absolute;left:1897;top:2925;width:108;height:64" coordsize="108,64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>
            <v:path arrowok="t"/>
            <o:lock v:ext="edit" verticies="t"/>
          </v:shape>
          <v:shape id="_x0000_s1035" style="position:absolute;left:1897;top:2812;width:108;height:74" coordsize="108,74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>
            <v:path arrowok="t"/>
            <o:lock v:ext="edit" verticies="t"/>
          </v:shape>
          <v:shape id="_x0000_s1036" style="position:absolute;left:1897;top:2706;width:108;height:63" coordsize="108,63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>
            <v:path arrowok="t"/>
            <o:lock v:ext="edit" verticies="t"/>
          </v:shape>
          <v:shape id="_x0000_s1037" style="position:absolute;left:1903;top:2539;width:108;height:63" coordsize="108,63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>
            <v:path arrowok="t"/>
            <o:lock v:ext="edit" verticies="t"/>
          </v:shape>
          <v:shape id="_x0000_s1038" style="position:absolute;left:1903;top:2447;width:108;height:43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>
            <v:path arrowok="t"/>
          </v:shape>
          <v:shape id="_x0000_s1039" style="position:absolute;left:1900;top:2287;width:108;height:43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>
            <v:path arrowok="t"/>
          </v:shape>
          <v:shape id="_x0000_s1040" style="position:absolute;left:1900;top:2173;width:108;height:72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>
            <v:path arrowok="t"/>
          </v:shape>
          <v:shape id="_x0000_s1041" style="position:absolute;left:1900;top:2084;width:108;height:51" coordsize="108,51" path="m108,35r-3,l95,35r-37,l29,35r-2,l27,38r-1,7l26,51r1,l26,51r-3,l10,51r-9,l1,51r,-8l,20,,2,1,,4,,17,r9,l27,r,3l26,10r,6l27,16r2,l39,16r37,l105,16r3,l108,20r-1,9l107,35r1,l108,35xe" fillcolor="#1f1a17" stroked="f">
            <v:path arrowok="t"/>
          </v:shape>
          <v:shape id="_x0000_s1042" style="position:absolute;left:1900;top:1982;width:108;height:56" coordsize="108,56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>
            <v:path arrowok="t"/>
            <o:lock v:ext="edit" verticies="t"/>
          </v:shape>
          <v:shape id="_x0000_s1043" style="position:absolute;left:1900;top:1894;width:108;height:43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>
            <v:path arrowok="t"/>
          </v:shape>
          <v:shape id="_x0000_s1044" style="position:absolute;left:1900;top:1763;width:108;height:85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>
            <v:path arrowok="t"/>
          </v:shape>
          <v:shape id="_x0000_s1045" style="position:absolute;left:1900;top:1651;width:108;height:72" coordsize="108,72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>
            <v:path arrowok="t"/>
            <o:lock v:ext="edit" verticies="t"/>
          </v:shape>
          <v:shape id="_x0000_s1046" style="position:absolute;left:1900;top:1543;width:108;height:63" coordsize="108,63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>
            <v:path arrowok="t"/>
            <o:lock v:ext="edit" verticies="t"/>
          </v:shape>
          <v:shape id="_x0000_s1047" style="position:absolute;left:1900;top:1431;width:111;height:63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>
            <v:path arrowok="t"/>
          </v:shape>
          <v:shape id="_x0000_s1048" style="position:absolute;left:1900;top:1323;width:108;height:56" coordsize="108,56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>
            <v:path arrowok="t"/>
            <o:lock v:ext="edit" verticies="t"/>
          </v:shape>
          <v:shape id="_x0000_s1049" style="position:absolute;left:1900;top:1213;width:108;height:74" coordsize="108,74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>
            <v:path arrowok="t"/>
            <o:lock v:ext="edit" verticies="t"/>
          </v:shape>
          <v:shape id="_x0000_s1050" style="position:absolute;left:1586;top:2612;width:239;height:215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>
            <v:path arrowok="t"/>
          </v:shape>
          <v:shape id="_x0000_s1051" style="position:absolute;left:1439;top:2612;width:154;height:215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>
            <v:path arrowok="t"/>
          </v:shape>
          <v:shape id="_x0000_s1052" style="position:absolute;left:1450;top:2012;width:335;height:46" coordsize="335,46" path="m335,46r,-7l333,19r,-17l335,r-8,l286,,140,,29,,23,,22,2,19,7,9,29,,46r,l6,46r46,l208,46r119,l335,46r,xe" fillcolor="#1f1a17" stroked="f">
            <v:path arrowok="t"/>
          </v:shape>
          <v:shape id="_x0000_s1053" style="position:absolute;left:1214;top:1844;width:571;height:233" coordsize="571,233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>
            <v:path arrowok="t"/>
            <o:lock v:ext="edit" verticies="t"/>
          </v:shape>
          <v:shape id="_x0000_s1054" style="position:absolute;left:1369;top:1788;width:416;height:36" coordsize="416,36" path="m416,36r,-5l414,14r,-13l416,r-9,l351,,156,,7,,,,5,5,20,23,33,36r2,l42,36r52,l271,36r136,l416,36r,xe" fillcolor="#1f1a17" stroked="f">
            <v:path arrowok="t"/>
          </v:shape>
          <v:shape id="_x0000_s1055" style="position:absolute;left:1469;top:1927;width:52;height:52" coordsize="52,52" path="m52,52r,-7l50,20,50,2,52,,50,,43,,20,,1,r,l1,9,,33,,52r1,l8,52r24,l50,52r2,l52,52xe" fillcolor="#1f1a17" stroked="f">
            <v:path arrowok="t"/>
          </v:shape>
          <v:shape id="_x0000_s1056" style="position:absolute;left:1554;top:1927;width:50;height:52" coordsize="50,52" path="m50,52r,-7l49,20,49,2,50,,49,,42,,19,,1,r,l1,9,,33,,52r1,l9,52r23,l49,52r1,l50,52xe" fillcolor="#1f1a17" stroked="f">
            <v:path arrowok="t"/>
          </v:shape>
          <v:shape id="_x0000_s1057" style="position:absolute;left:1638;top:1927;width:50;height:52" coordsize="50,52" path="m50,52r,-7l49,20,49,2,50,,49,,41,,18,,1,r,l1,9,,33,,52r1,l8,52r23,l49,52r1,l50,52xe" fillcolor="#1f1a17" stroked="f">
            <v:path arrowok="t"/>
          </v:shape>
          <v:shape id="_x0000_s1058" style="position:absolute;left:1723;top:1927;width:50;height:52" coordsize="50,52" path="m50,52r,-7l49,20,49,2,50,,49,,41,,18,,1,r,l1,9,,33,,52r1,l8,52r23,l49,52r1,l50,52xe" fillcolor="#1f1a17" stroked="f">
            <v:path arrowok="t"/>
          </v:shape>
          <v:shape id="_x0000_s1059" style="position:absolute;left:1398;top:2097;width:423;height:494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>
            <v:path arrowok="t"/>
          </v:shape>
          <v:shape id="_x0000_s1060" style="position:absolute;left:1278;top:1907;width:106;height:108" coordsize="106,108" path="m52,108r8,l73,105,84,98,94,88r7,-13l104,62r2,-9l104,48,101,33,94,22,84,12,73,4,60,2,52,,45,2,32,4,21,12,11,22,3,33,,48r,5l,62,3,75r8,13l21,98r11,7l45,108r7,l52,108xe" fillcolor="#1f1a17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474"/>
    <w:multiLevelType w:val="hybridMultilevel"/>
    <w:tmpl w:val="0D920E84"/>
    <w:lvl w:ilvl="0" w:tplc="1B1ECF5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w w:val="100"/>
        <w:u w:val="single"/>
      </w:rPr>
    </w:lvl>
    <w:lvl w:ilvl="1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w w:val="100"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360C29D4"/>
    <w:multiLevelType w:val="hybridMultilevel"/>
    <w:tmpl w:val="C9684118"/>
    <w:lvl w:ilvl="0" w:tplc="C158C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52C6"/>
    <w:multiLevelType w:val="hybridMultilevel"/>
    <w:tmpl w:val="749CE4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A2889"/>
    <w:rsid w:val="00370323"/>
    <w:rsid w:val="007A2889"/>
    <w:rsid w:val="0095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7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7A28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3">
    <w:name w:val="Medium Shading 2 Accent 3"/>
    <w:basedOn w:val="Tablanormal"/>
    <w:uiPriority w:val="64"/>
    <w:rsid w:val="007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7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7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7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28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8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28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88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A2889"/>
    <w:rPr>
      <w:color w:val="0000FF"/>
      <w:u w:val="single"/>
    </w:rPr>
  </w:style>
  <w:style w:type="paragraph" w:styleId="NormalWeb">
    <w:name w:val="Normal (Web)"/>
    <w:basedOn w:val="Normal"/>
    <w:rsid w:val="007A2889"/>
    <w:pPr>
      <w:spacing w:before="100" w:beforeAutospacing="1" w:after="100" w:afterAutospacing="1"/>
    </w:pPr>
  </w:style>
  <w:style w:type="character" w:styleId="Textoennegrita">
    <w:name w:val="Strong"/>
    <w:qFormat/>
    <w:rsid w:val="007A2889"/>
    <w:rPr>
      <w:b/>
      <w:bCs/>
    </w:rPr>
  </w:style>
  <w:style w:type="paragraph" w:styleId="Textodeglobo">
    <w:name w:val="Balloon Text"/>
    <w:basedOn w:val="Normal"/>
    <w:link w:val="TextodegloboCar"/>
    <w:rsid w:val="007A28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28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2013-06-06T10:53:00Z</dcterms:created>
  <dcterms:modified xsi:type="dcterms:W3CDTF">2013-06-06T10:55:00Z</dcterms:modified>
</cp:coreProperties>
</file>