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79A4" w14:textId="77777777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7EB279A5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7EB279A6" w14:textId="77777777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7EB279A7" w14:textId="77777777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Si procede, periodo(s) previsto(s) de movilidad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146B20">
        <w:rPr>
          <w:rFonts w:ascii="Verdana" w:hAnsi="Verdana" w:cs="Calibri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146B20">
        <w:rPr>
          <w:rFonts w:ascii="Verdana" w:hAnsi="Verdana" w:cs="Calibri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7EB279A8" w14:textId="77777777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 xml:space="preserve">Duración </w:t>
      </w:r>
      <w:r w:rsidR="00F71AA8" w:rsidRPr="00146B20">
        <w:rPr>
          <w:rFonts w:ascii="Verdana" w:eastAsia="Times New Roman" w:hAnsi="Verdana" w:cs="Calibri"/>
          <w:sz w:val="20"/>
          <w:szCs w:val="20"/>
        </w:rPr>
        <w:t xml:space="preserve">de la movilidad física </w:t>
      </w:r>
      <w:r w:rsidRPr="00146B20">
        <w:rPr>
          <w:rFonts w:ascii="Verdana" w:eastAsia="Times New Roman" w:hAnsi="Verdana" w:cs="Calibri"/>
          <w:sz w:val="20"/>
          <w:szCs w:val="20"/>
        </w:rPr>
        <w:t xml:space="preserve">(en días) – excluyendo días de viaje: </w:t>
      </w:r>
    </w:p>
    <w:p w14:paraId="7EB279A9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7EB279AE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7EB279A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7EB279A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EB279A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7EB279AD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7EB279B3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7EB279A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EB279B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EB279B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7EB279B2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7EB279B8" w14:textId="77777777" w:rsidTr="00BB62DC">
        <w:tc>
          <w:tcPr>
            <w:tcW w:w="2232" w:type="dxa"/>
            <w:shd w:val="clear" w:color="auto" w:fill="FFFFFF"/>
          </w:tcPr>
          <w:p w14:paraId="7EB279B4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EB279B5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7EB279B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7EB279B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14:paraId="7EB279BB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7EB279B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7EB279BA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EB279B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7EB279BD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14:paraId="7EB279C2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7EB279BE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7EB279B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EB279C0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EB279C1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7EB279C9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7EB279C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7EB279C4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7EB279C5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7EB279C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7EB279C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7EB279C8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7EB279CF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7EB279C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7EB279C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EB279CC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7EB279CD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EB279C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7EB279D6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7EB279D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7EB279D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7EB279D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EB279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EB279D4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7EB279D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7EB279D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7EB279D8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7EB279DB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7EB279D9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7EB279DA" w14:textId="0A7BB863" w:rsidR="00BB6734" w:rsidRPr="0037729D" w:rsidRDefault="008A4F7D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Extremadura</w:t>
            </w:r>
          </w:p>
        </w:tc>
      </w:tr>
      <w:tr w:rsidR="00A7036B" w:rsidRPr="0037729D" w14:paraId="7EB279E2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7EB279DC" w14:textId="77777777" w:rsidR="00A7036B" w:rsidRPr="0037729D" w:rsidRDefault="00A7036B" w:rsidP="00A7036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7EB279DD" w14:textId="77777777" w:rsidR="00A7036B" w:rsidRPr="0037729D" w:rsidRDefault="00A7036B" w:rsidP="00A7036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7EB279DE" w14:textId="77777777" w:rsidR="00A7036B" w:rsidRPr="0037729D" w:rsidRDefault="00A7036B" w:rsidP="00A7036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EB279DF" w14:textId="4A31AC21" w:rsidR="00A7036B" w:rsidRPr="0037729D" w:rsidRDefault="00A7036B" w:rsidP="00A7036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B74E26">
              <w:rPr>
                <w:rFonts w:ascii="Verdana" w:hAnsi="Verdana" w:cs="Arial"/>
                <w:color w:val="002060"/>
                <w:sz w:val="20"/>
                <w:lang w:val="en-GB"/>
              </w:rPr>
              <w:t>E BADAJOZ01</w:t>
            </w:r>
          </w:p>
        </w:tc>
        <w:tc>
          <w:tcPr>
            <w:tcW w:w="2307" w:type="dxa"/>
            <w:shd w:val="clear" w:color="auto" w:fill="FFFFFF"/>
          </w:tcPr>
          <w:p w14:paraId="7EB279E0" w14:textId="77777777" w:rsidR="00A7036B" w:rsidRPr="0037729D" w:rsidRDefault="00A7036B" w:rsidP="00A7036B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  <w:t>Departamento</w:t>
            </w:r>
          </w:p>
        </w:tc>
        <w:tc>
          <w:tcPr>
            <w:tcW w:w="2157" w:type="dxa"/>
            <w:shd w:val="clear" w:color="auto" w:fill="FFFFFF"/>
          </w:tcPr>
          <w:p w14:paraId="7EB279E1" w14:textId="77777777" w:rsidR="00A7036B" w:rsidRPr="0037729D" w:rsidRDefault="00A7036B" w:rsidP="00A7036B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75866" w:rsidRPr="0037729D" w14:paraId="7EB279E8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7EB279E3" w14:textId="77777777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6EA54ABF" w14:textId="77777777" w:rsidR="00B75866" w:rsidRDefault="00B75866" w:rsidP="00B75866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 xml:space="preserve">Avda. de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Elvas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s/n</w:t>
            </w:r>
          </w:p>
          <w:p w14:paraId="7EB279E4" w14:textId="56317CA5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06006 Badajoz</w:t>
            </w:r>
            <w:r w:rsidRPr="00327B1C">
              <w:rPr>
                <w:rFonts w:ascii="Verdana" w:hAnsi="Verdana" w:cs="Arial"/>
                <w:color w:val="002060"/>
                <w:sz w:val="20"/>
              </w:rPr>
              <w:t xml:space="preserve">  </w:t>
            </w:r>
          </w:p>
        </w:tc>
        <w:tc>
          <w:tcPr>
            <w:tcW w:w="2307" w:type="dxa"/>
            <w:shd w:val="clear" w:color="auto" w:fill="FFFFFF"/>
          </w:tcPr>
          <w:p w14:paraId="7EB279E5" w14:textId="77777777" w:rsidR="00B75866" w:rsidRPr="0037729D" w:rsidRDefault="00B75866" w:rsidP="00B75866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7EB279E6" w14:textId="77777777" w:rsidR="00B75866" w:rsidRPr="0037729D" w:rsidRDefault="00B75866" w:rsidP="00B75866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7EB279E7" w14:textId="7A534911" w:rsidR="00B75866" w:rsidRPr="0037729D" w:rsidRDefault="00B75866" w:rsidP="00B75866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España/</w:t>
            </w:r>
            <w:r w:rsidRPr="00B74E26">
              <w:rPr>
                <w:rFonts w:ascii="Verdana" w:hAnsi="Verdana" w:cs="Arial"/>
                <w:color w:val="002060"/>
                <w:sz w:val="20"/>
              </w:rPr>
              <w:t>ES</w:t>
            </w:r>
          </w:p>
        </w:tc>
      </w:tr>
      <w:tr w:rsidR="00B75866" w:rsidRPr="0037729D" w14:paraId="7EB279EF" w14:textId="77777777" w:rsidTr="00BB62DC">
        <w:tc>
          <w:tcPr>
            <w:tcW w:w="2232" w:type="dxa"/>
            <w:shd w:val="clear" w:color="auto" w:fill="FFFFFF"/>
          </w:tcPr>
          <w:p w14:paraId="7EB279E9" w14:textId="77777777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7EB279EA" w14:textId="77777777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43879823" w14:textId="77777777" w:rsidR="00B75866" w:rsidRDefault="00B75866" w:rsidP="00B75866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t>Fernando Tinoco</w:t>
            </w:r>
          </w:p>
          <w:p w14:paraId="7EB279EB" w14:textId="43E45A85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t xml:space="preserve">Administrative </w:t>
            </w: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7EB279EC" w14:textId="77777777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EB279ED" w14:textId="77777777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7EB279EE" w14:textId="682704CA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1A5B34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erasmusstaff@unex.es</w:t>
            </w:r>
          </w:p>
        </w:tc>
      </w:tr>
      <w:tr w:rsidR="00B75866" w:rsidRPr="0037729D" w14:paraId="7EB279F7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208FE682" w14:textId="77777777" w:rsidR="00661DB7" w:rsidRPr="00D95B4B" w:rsidRDefault="00661DB7" w:rsidP="00661DB7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D95B4B">
              <w:rPr>
                <w:rFonts w:ascii="Verdana" w:hAnsi="Verdana" w:cs="Arial"/>
                <w:sz w:val="20"/>
              </w:rPr>
              <w:lastRenderedPageBreak/>
              <w:t xml:space="preserve">Tipo de empresa: </w:t>
            </w:r>
          </w:p>
          <w:p w14:paraId="4B8ABFD9" w14:textId="77777777" w:rsidR="00661DB7" w:rsidRPr="00D95B4B" w:rsidRDefault="00661DB7" w:rsidP="00661DB7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D95B4B">
              <w:rPr>
                <w:rFonts w:ascii="Verdana" w:hAnsi="Verdana" w:cs="Arial"/>
                <w:sz w:val="20"/>
              </w:rPr>
              <w:t xml:space="preserve">Código </w:t>
            </w:r>
            <w:r>
              <w:rPr>
                <w:rFonts w:ascii="Verdana" w:hAnsi="Verdana" w:cs="Arial"/>
                <w:sz w:val="20"/>
              </w:rPr>
              <w:t>NACE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7EB279F0" w14:textId="24EED1A2" w:rsidR="00B75866" w:rsidRPr="0037729D" w:rsidRDefault="00661DB7" w:rsidP="00661DB7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232" w:type="dxa"/>
            <w:shd w:val="clear" w:color="auto" w:fill="FFFFFF"/>
          </w:tcPr>
          <w:p w14:paraId="7EB279F1" w14:textId="2A71780F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85.4</w:t>
            </w:r>
          </w:p>
        </w:tc>
        <w:tc>
          <w:tcPr>
            <w:tcW w:w="2307" w:type="dxa"/>
            <w:shd w:val="clear" w:color="auto" w:fill="FFFFFF"/>
          </w:tcPr>
          <w:p w14:paraId="7EB279F2" w14:textId="77777777" w:rsidR="00B75866" w:rsidRPr="0037729D" w:rsidRDefault="00B75866" w:rsidP="00B75866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7EB279F3" w14:textId="77777777" w:rsidR="00B75866" w:rsidRPr="0037729D" w:rsidRDefault="00B75866" w:rsidP="00B75866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7EB279F4" w14:textId="77777777" w:rsidR="00B75866" w:rsidRPr="0037729D" w:rsidRDefault="00B75866" w:rsidP="00B7586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7EB279F5" w14:textId="77777777" w:rsidR="00B75866" w:rsidRPr="0037729D" w:rsidRDefault="001C0039" w:rsidP="00B75866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66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5866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7EB279F6" w14:textId="65ED805A" w:rsidR="00B75866" w:rsidRPr="0037729D" w:rsidRDefault="001C0039" w:rsidP="00B75866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6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B75866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7EB279F8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EB279F9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EB279FA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EB279FB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7EB279FC" w14:textId="77777777" w:rsidR="00BB6734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p w14:paraId="7EB279FD" w14:textId="77777777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¿La movilidad docente forma parte de un programa </w:t>
      </w:r>
      <w:r w:rsidR="00146B20">
        <w:rPr>
          <w:rFonts w:ascii="Verdana" w:hAnsi="Verdana" w:cs="Calibri"/>
        </w:rPr>
        <w:t>intensivo combinado</w:t>
      </w:r>
      <w:r>
        <w:rPr>
          <w:rFonts w:ascii="Verdana" w:hAnsi="Verdana" w:cs="Calibri"/>
        </w:rPr>
        <w:t>?</w:t>
      </w:r>
      <w:r w:rsidR="001D119A">
        <w:rPr>
          <w:rFonts w:ascii="Verdana" w:hAnsi="Verdana" w:cs="Calibri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9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1D119A">
        <w:rPr>
          <w:rFonts w:ascii="Verdana" w:hAnsi="Verdana" w:cs="Calibri"/>
          <w:lang w:val="en-GB"/>
        </w:rPr>
        <w:t xml:space="preserve"> </w:t>
      </w:r>
      <w:proofErr w:type="spellStart"/>
      <w:r w:rsidR="001D119A">
        <w:rPr>
          <w:rFonts w:ascii="Verdana" w:hAnsi="Verdana" w:cs="Calibri"/>
          <w:lang w:val="en-GB"/>
        </w:rPr>
        <w:t>Sí</w:t>
      </w:r>
      <w:proofErr w:type="spellEnd"/>
      <w:r w:rsidR="001D119A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9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1D119A">
        <w:rPr>
          <w:rFonts w:ascii="Verdana" w:hAnsi="Verdana" w:cs="Calibri"/>
          <w:lang w:val="en-GB"/>
        </w:rPr>
        <w:t xml:space="preserve"> No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7EB27A01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279FE" w14:textId="77777777" w:rsidR="00BB6734" w:rsidRPr="00B0698A" w:rsidRDefault="00F71AA8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</w:rPr>
              <w:t xml:space="preserve"> </w:t>
            </w:r>
            <w:r w:rsidR="00BB6734"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7EB279F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EB27A00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14:paraId="7EB27A03" w14:textId="77777777" w:rsidTr="00BB62DC">
        <w:trPr>
          <w:jc w:val="center"/>
        </w:trPr>
        <w:tc>
          <w:tcPr>
            <w:tcW w:w="8763" w:type="dxa"/>
            <w:shd w:val="clear" w:color="auto" w:fill="FFFFFF"/>
          </w:tcPr>
          <w:p w14:paraId="7EB27A02" w14:textId="77777777"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46B20">
              <w:rPr>
                <w:rFonts w:ascii="Verdana" w:hAnsi="Verdana" w:cs="Calibri"/>
                <w:b/>
                <w:sz w:val="20"/>
              </w:rPr>
              <w:t>Actividad de formación en desarrollo de competencias pedagógicas y</w:t>
            </w:r>
            <w:r w:rsidR="00F71AA8" w:rsidRPr="00146B20">
              <w:rPr>
                <w:rFonts w:ascii="Verdana" w:hAnsi="Verdana" w:cs="Calibri"/>
                <w:b/>
                <w:sz w:val="20"/>
              </w:rPr>
              <w:t>/o</w:t>
            </w:r>
            <w:r w:rsidRPr="00146B20">
              <w:rPr>
                <w:rFonts w:ascii="Verdana" w:hAnsi="Verdana" w:cs="Calibri"/>
                <w:b/>
                <w:sz w:val="20"/>
              </w:rPr>
              <w:t xml:space="preserve"> de diseño curricular: Sí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146B20">
              <w:rPr>
                <w:rFonts w:ascii="MS Gothic" w:eastAsia="MS Gothic" w:hAnsi="MS Gothic" w:cs="MS Gothic"/>
                <w:b/>
                <w:sz w:val="20"/>
              </w:rPr>
              <w:t>☐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146B20">
              <w:rPr>
                <w:rFonts w:ascii="MS Gothic" w:eastAsia="MS Gothic" w:hAnsi="MS Gothic" w:cs="MS Gothic"/>
                <w:b/>
                <w:sz w:val="20"/>
              </w:rPr>
              <w:t>☐</w:t>
            </w:r>
            <w:r w:rsidR="00FB7122" w:rsidRPr="00146B20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14:paraId="7EB27A07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27A04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7EB27A05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EB27A06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B27A0C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27A08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7EB27A09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7EB27A0A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7EB27A0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7EB27A11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27A0D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7EB27A0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EB27A0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EB27A10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7EB27A12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7EB27A13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7EB27A14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8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7EB27A15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7EB27A16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7EB27A1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7EB27A18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7EB27A1C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7EB27A19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7EB27A1A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7EB27A1B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EB27A1D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7EB27A21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7EB27A1E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7EB27A1F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7EB27A20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7EB27A2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7EB27A26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7EB27A23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7EB27A24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7EB27A25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EB27A27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3320" w14:textId="77777777" w:rsidR="001C0039" w:rsidRDefault="001C0039" w:rsidP="00BB6734">
      <w:pPr>
        <w:spacing w:after="0" w:line="240" w:lineRule="auto"/>
      </w:pPr>
      <w:r>
        <w:separator/>
      </w:r>
    </w:p>
  </w:endnote>
  <w:endnote w:type="continuationSeparator" w:id="0">
    <w:p w14:paraId="6564AA25" w14:textId="77777777" w:rsidR="001C0039" w:rsidRDefault="001C0039" w:rsidP="00BB6734">
      <w:pPr>
        <w:spacing w:after="0" w:line="240" w:lineRule="auto"/>
      </w:pPr>
      <w:r>
        <w:continuationSeparator/>
      </w:r>
    </w:p>
  </w:endnote>
  <w:endnote w:id="1">
    <w:p w14:paraId="7EB27A3A" w14:textId="77777777"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14:paraId="7EB27A3B" w14:textId="77777777"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14:paraId="7EB27A3C" w14:textId="77777777"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14:paraId="7EB27A3D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7EB27A3E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7EB27A3F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14:paraId="7EB27A40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7EB27A41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78ECF99B" w14:textId="77777777" w:rsidR="00661DB7" w:rsidRPr="00D95B4B" w:rsidRDefault="00661DB7" w:rsidP="00661DB7">
      <w:pPr>
        <w:pStyle w:val="Textonotaalfinal"/>
        <w:spacing w:after="100"/>
        <w:rPr>
          <w:rFonts w:ascii="Verdana" w:hAnsi="Verdana"/>
          <w:color w:val="FF0000"/>
          <w:sz w:val="16"/>
          <w:szCs w:val="16"/>
        </w:rPr>
      </w:pPr>
      <w:r w:rsidRPr="00B223B0">
        <w:rPr>
          <w:rStyle w:val="Refdenotaalfinal"/>
          <w:sz w:val="16"/>
          <w:szCs w:val="16"/>
        </w:rPr>
        <w:endnoteRef/>
      </w:r>
      <w:r w:rsidRPr="00FA73FF">
        <w:rPr>
          <w:rStyle w:val="Hipervnculo"/>
          <w:rFonts w:ascii="Verdana" w:hAnsi="Verdana"/>
          <w:sz w:val="16"/>
          <w:szCs w:val="16"/>
        </w:rPr>
        <w:t>Los códigos de los sectores de actividades econ</w:t>
      </w:r>
      <w:r w:rsidRPr="00F1098E">
        <w:rPr>
          <w:rStyle w:val="Hipervnculo"/>
          <w:rFonts w:ascii="Verdana" w:hAnsi="Verdana"/>
          <w:sz w:val="16"/>
          <w:szCs w:val="16"/>
        </w:rPr>
        <w:t xml:space="preserve">ómicas NACE más importantes están disponibles en: </w:t>
      </w:r>
      <w:hyperlink r:id="rId2" w:history="1">
        <w:r w:rsidRPr="00D95B4B">
          <w:rPr>
            <w:rStyle w:val="Hipervnculo"/>
            <w:rFonts w:ascii="Verdana" w:hAnsi="Verdana"/>
            <w:sz w:val="16"/>
            <w:szCs w:val="16"/>
          </w:rPr>
          <w:t>http://ec.europa.eu/eurostat/ramon/nomenclatures/index.cfm?TargetUrl=LST_NOM_DTL&amp;StrNom=NACE_REV2&amp;StrLanguageCode=EN</w:t>
        </w:r>
      </w:hyperlink>
      <w:r>
        <w:rPr>
          <w:rStyle w:val="Hipervnculo"/>
          <w:rFonts w:ascii="Verdana" w:hAnsi="Verdana"/>
          <w:sz w:val="16"/>
          <w:szCs w:val="16"/>
        </w:rPr>
        <w:t>.</w:t>
      </w:r>
    </w:p>
  </w:endnote>
  <w:endnote w:id="8">
    <w:p w14:paraId="7EB27A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27A31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27A32" w14:textId="77777777" w:rsidR="00506408" w:rsidRPr="007E2F6C" w:rsidRDefault="001C0039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7A34" w14:textId="77777777" w:rsidR="005655B4" w:rsidRDefault="001C0039">
    <w:pPr>
      <w:pStyle w:val="Piedepgina"/>
    </w:pPr>
  </w:p>
  <w:p w14:paraId="7EB27A35" w14:textId="77777777" w:rsidR="00506408" w:rsidRPr="00910BEB" w:rsidRDefault="001C0039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360B" w14:textId="77777777" w:rsidR="001C0039" w:rsidRDefault="001C0039" w:rsidP="00BB6734">
      <w:pPr>
        <w:spacing w:after="0" w:line="240" w:lineRule="auto"/>
      </w:pPr>
      <w:r>
        <w:separator/>
      </w:r>
    </w:p>
  </w:footnote>
  <w:footnote w:type="continuationSeparator" w:id="0">
    <w:p w14:paraId="6FB7CA93" w14:textId="77777777" w:rsidR="001C0039" w:rsidRDefault="001C0039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7A2C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27A36" wp14:editId="7EB27A37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27A43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7EB27A44" w14:textId="77777777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7EB27A45" w14:textId="77777777" w:rsidR="004B782B" w:rsidRPr="001C0AC3" w:rsidRDefault="001C0039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7EB27A46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7EB27A47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27A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" filled="f" stroked="f">
              <v:textbox>
                <w:txbxContent>
                  <w:p w14:paraId="7EB27A43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7EB27A44" w14:textId="77777777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14:paraId="7EB27A45" w14:textId="77777777" w:rsidR="004B782B" w:rsidRPr="001C0AC3" w:rsidRDefault="001C0039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7EB27A46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14:paraId="7EB27A47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EB27A2F" w14:textId="77777777" w:rsidTr="00FE0FB6">
      <w:trPr>
        <w:trHeight w:val="823"/>
      </w:trPr>
      <w:tc>
        <w:tcPr>
          <w:tcW w:w="7135" w:type="dxa"/>
          <w:vAlign w:val="center"/>
        </w:tcPr>
        <w:p w14:paraId="7EB27A2D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EB27A38" wp14:editId="7EB27A3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EB27A2E" w14:textId="77777777" w:rsidR="00E01AAA" w:rsidRPr="00967BFC" w:rsidRDefault="001C0039" w:rsidP="00C05937">
          <w:pPr>
            <w:pStyle w:val="ZDGName"/>
            <w:rPr>
              <w:lang w:val="en-GB"/>
            </w:rPr>
          </w:pPr>
        </w:p>
      </w:tc>
    </w:tr>
  </w:tbl>
  <w:p w14:paraId="7EB27A30" w14:textId="77777777" w:rsidR="00506408" w:rsidRPr="00495B18" w:rsidRDefault="001C0039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7A33" w14:textId="77777777" w:rsidR="00506408" w:rsidRPr="00865FC1" w:rsidRDefault="001C0039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34"/>
    <w:rsid w:val="000618A2"/>
    <w:rsid w:val="00065724"/>
    <w:rsid w:val="000B5093"/>
    <w:rsid w:val="00146B20"/>
    <w:rsid w:val="00150FC6"/>
    <w:rsid w:val="001850A9"/>
    <w:rsid w:val="001C0039"/>
    <w:rsid w:val="001D119A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E774A"/>
    <w:rsid w:val="005F43FB"/>
    <w:rsid w:val="00661DB7"/>
    <w:rsid w:val="00672C30"/>
    <w:rsid w:val="00677EC4"/>
    <w:rsid w:val="006F6235"/>
    <w:rsid w:val="00780CFD"/>
    <w:rsid w:val="007A49FC"/>
    <w:rsid w:val="007A6F63"/>
    <w:rsid w:val="00846EB3"/>
    <w:rsid w:val="00852440"/>
    <w:rsid w:val="00855904"/>
    <w:rsid w:val="008A1DF8"/>
    <w:rsid w:val="008A4F7D"/>
    <w:rsid w:val="008B00F8"/>
    <w:rsid w:val="008E5E28"/>
    <w:rsid w:val="009339D0"/>
    <w:rsid w:val="009A0E51"/>
    <w:rsid w:val="009B2E6F"/>
    <w:rsid w:val="009C2B6A"/>
    <w:rsid w:val="009C58E2"/>
    <w:rsid w:val="00A7036B"/>
    <w:rsid w:val="00A93A5C"/>
    <w:rsid w:val="00AA44A8"/>
    <w:rsid w:val="00B0698A"/>
    <w:rsid w:val="00B25BEB"/>
    <w:rsid w:val="00B75866"/>
    <w:rsid w:val="00BA05FC"/>
    <w:rsid w:val="00BB6734"/>
    <w:rsid w:val="00CE3280"/>
    <w:rsid w:val="00D123FB"/>
    <w:rsid w:val="00E36A4B"/>
    <w:rsid w:val="00E51943"/>
    <w:rsid w:val="00F46C6A"/>
    <w:rsid w:val="00F71AA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79A4"/>
  <w15:docId w15:val="{195BE0CE-CAF0-4F9F-B815-D9056296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7671-00E0-4267-B116-070CDBD5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JOSÉ FERNANDO  TINOCO DÍAZ</cp:lastModifiedBy>
  <cp:revision>7</cp:revision>
  <cp:lastPrinted>2015-08-28T10:17:00Z</cp:lastPrinted>
  <dcterms:created xsi:type="dcterms:W3CDTF">2021-10-26T12:13:00Z</dcterms:created>
  <dcterms:modified xsi:type="dcterms:W3CDTF">2022-02-09T09:54:00Z</dcterms:modified>
</cp:coreProperties>
</file>